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3"/>
        <w:gridCol w:w="263"/>
      </w:tblGrid>
      <w:tr w:rsidR="00DB74E6" w:rsidRPr="00DB74E6" w:rsidTr="00DB74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4E6" w:rsidRPr="00DB74E6" w:rsidRDefault="00DB74E6" w:rsidP="00DB74E6">
            <w:pPr>
              <w:spacing w:before="45" w:after="45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b/>
                <w:bCs/>
                <w:color w:val="333399"/>
                <w:lang w:eastAsia="el-GR"/>
              </w:rPr>
              <w:t>ΠΑΡΑΡΤΗΜΑ 6-6: ΠΑΡΑΔΕΙΓΜΑ ΥΠΟΛΟΓΙΣΜΟΥ ΤΗΣ ΠΟΙΝΙΚΗΣ ΡΗΤΡΑΣ ΓΙΑ ΚΑΘΥΣΤΕΡΗΣΕΙΣ ΣΤΗ ΣΥΜΠΛΗΡΩΣΗ ΕΝΟΣ ΕΡΓΟΥ</w:t>
            </w:r>
            <w:r w:rsidR="00592F7E">
              <w:rPr>
                <w:rFonts w:ascii="Verdana" w:eastAsia="Times New Roman" w:hAnsi="Verdana" w:cs="Times New Roman"/>
                <w:b/>
                <w:bCs/>
                <w:color w:val="333399"/>
                <w:lang w:eastAsia="el-GR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4E6" w:rsidRPr="00DB74E6" w:rsidRDefault="00DB74E6" w:rsidP="00DB74E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hyperlink r:id="rId7" w:history="1">
              <w:r w:rsidRPr="00DB74E6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lang w:eastAsia="el-GR"/>
                </w:rPr>
                <w:t> </w:t>
              </w:r>
            </w:hyperlink>
            <w:r w:rsidRPr="00DB74E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DB74E6" w:rsidRPr="00DB74E6" w:rsidRDefault="00DB74E6" w:rsidP="00DB74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6"/>
      </w:tblGrid>
      <w:tr w:rsidR="00DB74E6" w:rsidRPr="00DB74E6" w:rsidTr="00DB74E6">
        <w:trPr>
          <w:tblCellSpacing w:w="0" w:type="dxa"/>
        </w:trPr>
        <w:tc>
          <w:tcPr>
            <w:tcW w:w="0" w:type="auto"/>
            <w:hideMark/>
          </w:tcPr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Δίδεται το ακόλουθο παράδειγμα υπολογισμού της ποινικής ρήτρας για καθυστερήσεις στη συμπλήρωση ενός έργου με αξία σύμβασης (σύμφωνα με την εκτίμηση, εξαιρούμενων των απροβλέπτων) ίση με €2.000.000 και περίοδο εκτέλεσης 500 ημερολογιακές ημέρες.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(α)        </w:t>
            </w: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Έξοδα επίβλεψης/ διαχείρισης Σύμβασης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α.1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Επιστημονικό Προσωπικό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tbl>
            <w:tblPr>
              <w:tblW w:w="0" w:type="auto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885"/>
              <w:gridCol w:w="1335"/>
            </w:tblGrid>
            <w:tr w:rsidR="00DB74E6" w:rsidRPr="00DB74E6" w:rsidTr="00DB74E6">
              <w:trPr>
                <w:trHeight w:val="705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1104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Συντονιστής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(€75/ημέρα x 30% απασχόληση)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€23</w:t>
                  </w:r>
                </w:p>
              </w:tc>
            </w:tr>
            <w:tr w:rsidR="00DB74E6" w:rsidRPr="00DB74E6" w:rsidTr="00DB74E6">
              <w:trPr>
                <w:trHeight w:val="705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797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Πολιτικός Μηχανικός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(€60/ημέρα x 15% απασχόληση)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€9</w:t>
                  </w:r>
                </w:p>
              </w:tc>
            </w:tr>
            <w:tr w:rsidR="00DB74E6" w:rsidRPr="00DB74E6" w:rsidTr="00DB74E6">
              <w:trPr>
                <w:trHeight w:val="72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112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proofErr w:type="spellStart"/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Επιμετρητής</w:t>
                        </w:r>
                        <w:proofErr w:type="spellEnd"/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 xml:space="preserve"> Ποσοτήτων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(€60/ημέρα x 20% απασχόληση)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€12</w:t>
                  </w:r>
                </w:p>
              </w:tc>
            </w:tr>
            <w:tr w:rsidR="00DB74E6" w:rsidRPr="00DB74E6" w:rsidTr="00DB74E6">
              <w:trPr>
                <w:trHeight w:val="69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225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Ηλεκτρολόγος Μηχανικός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(€60/ημέρα x 20% απασχόληση)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€12</w:t>
                  </w:r>
                </w:p>
              </w:tc>
            </w:tr>
            <w:tr w:rsidR="00DB74E6" w:rsidRPr="00DB74E6" w:rsidTr="00DB74E6">
              <w:trPr>
                <w:trHeight w:val="72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173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Μηχανολόγος Μηχανικός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(€60/ημέρα x 30% απασχόληση)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€12</w:t>
                  </w:r>
                </w:p>
              </w:tc>
            </w:tr>
            <w:tr w:rsidR="00DB74E6" w:rsidRPr="00DB74E6" w:rsidTr="00DB74E6">
              <w:trPr>
                <w:trHeight w:val="420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€68</w:t>
                  </w:r>
                </w:p>
              </w:tc>
            </w:tr>
          </w:tbl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α.2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Τεχνικό Προσωπικό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tbl>
            <w:tblPr>
              <w:tblW w:w="0" w:type="auto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885"/>
              <w:gridCol w:w="1305"/>
            </w:tblGrid>
            <w:tr w:rsidR="00DB74E6" w:rsidRPr="00DB74E6" w:rsidTr="00DB74E6">
              <w:trPr>
                <w:trHeight w:val="66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160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Επιθεωρητής Εργοταξίου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(€40/ημέρα)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€40</w:t>
                  </w:r>
                </w:p>
              </w:tc>
            </w:tr>
            <w:tr w:rsidR="00DB74E6" w:rsidRPr="00DB74E6" w:rsidTr="00DB74E6">
              <w:trPr>
                <w:trHeight w:val="93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261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Η.Η.Υ (Ηλεκτρολόγος-Μηχανολόγος) (2 άτομα)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(€40/ημέρα x 20% απασχόληση)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2 x €8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€16</w:t>
                  </w:r>
                </w:p>
              </w:tc>
            </w:tr>
            <w:tr w:rsidR="00DB74E6" w:rsidRPr="00DB74E6" w:rsidTr="00DB74E6">
              <w:trPr>
                <w:trHeight w:val="60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777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Κλάδος Επιμέτρησης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(€40/ημέρα x 30% απασχόληση)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€12</w:t>
                  </w:r>
                </w:p>
              </w:tc>
            </w:tr>
            <w:tr w:rsidR="00DB74E6" w:rsidRPr="00DB74E6" w:rsidTr="00DB74E6">
              <w:trPr>
                <w:trHeight w:val="675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2693"/>
                  </w:tblGrid>
                  <w:tr w:rsidR="00DB74E6" w:rsidRPr="00DB74E6" w:rsidTr="00DB74E6">
                    <w:trPr>
                      <w:tblCellSpacing w:w="0" w:type="dxa"/>
                    </w:trPr>
                    <w:tc>
                      <w:tcPr>
                        <w:tcW w:w="195" w:type="dxa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Arial Unicode MS" w:eastAsia="Arial Unicode MS" w:hAnsi="Arial Unicode MS" w:cs="Arial Unicode MS" w:hint="eastAsia"/>
                            <w:color w:val="000000"/>
                            <w:sz w:val="18"/>
                            <w:szCs w:val="18"/>
                            <w:lang w:eastAsia="el-GR"/>
                          </w:rPr>
                          <w:t>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DB74E6" w:rsidRPr="00DB74E6" w:rsidRDefault="00DB74E6" w:rsidP="00DB74E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</w:pPr>
                        <w:r w:rsidRPr="00DB74E6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el-GR"/>
                          </w:rPr>
                          <w:t>Διεύθυνση Ελέγχου (1 άτομο)</w:t>
                        </w:r>
                      </w:p>
                    </w:tc>
                  </w:tr>
                </w:tbl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(€40/ημέρα x 10% απασχόληση)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€4</w:t>
                  </w:r>
                </w:p>
              </w:tc>
            </w:tr>
            <w:tr w:rsidR="00DB74E6" w:rsidRPr="00DB74E6" w:rsidTr="00DB74E6">
              <w:trPr>
                <w:trHeight w:val="405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€72</w:t>
                  </w:r>
                </w:p>
              </w:tc>
            </w:tr>
          </w:tbl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                    Από μεταφορά                                                                                      €140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lastRenderedPageBreak/>
              <w:t>       α.3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Μεταφορικά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tbl>
            <w:tblPr>
              <w:tblW w:w="0" w:type="auto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885"/>
              <w:gridCol w:w="1305"/>
            </w:tblGrid>
            <w:tr w:rsidR="00DB74E6" w:rsidRPr="00DB74E6" w:rsidTr="00DB74E6">
              <w:trPr>
                <w:trHeight w:val="66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100 χιλ./ημέρα (μέσος όρος) για όλο το προσωπικό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 xml:space="preserve">100 χιλ. x 16 </w:t>
                  </w:r>
                  <w:proofErr w:type="spellStart"/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σεντ</w:t>
                  </w:r>
                  <w:proofErr w:type="spellEnd"/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/χιλ. =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€16</w:t>
                  </w:r>
                </w:p>
              </w:tc>
            </w:tr>
            <w:tr w:rsidR="00DB74E6" w:rsidRPr="00DB74E6" w:rsidTr="00DB74E6">
              <w:trPr>
                <w:trHeight w:val="675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Σύνολο παρ. α.1, α.2, α.3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 </w:t>
                  </w:r>
                </w:p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€156</w:t>
                  </w:r>
                </w:p>
              </w:tc>
            </w:tr>
          </w:tbl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α.4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Γενικά Έξοδα Δημοσίου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 </w:t>
            </w:r>
          </w:p>
          <w:tbl>
            <w:tblPr>
              <w:tblW w:w="0" w:type="auto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885"/>
              <w:gridCol w:w="1305"/>
            </w:tblGrid>
            <w:tr w:rsidR="00DB74E6" w:rsidRPr="00DB74E6" w:rsidTr="00DB74E6">
              <w:trPr>
                <w:trHeight w:val="660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25% επί του Συνόλου των παρ. α.1, α.2 και α.3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€39</w:t>
                  </w:r>
                </w:p>
              </w:tc>
            </w:tr>
            <w:tr w:rsidR="00DB74E6" w:rsidRPr="00DB74E6" w:rsidTr="00DB74E6">
              <w:trPr>
                <w:trHeight w:val="315"/>
                <w:jc w:val="center"/>
              </w:trPr>
              <w:tc>
                <w:tcPr>
                  <w:tcW w:w="6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Σύνολο εξόδων επίβλεψης / διαχείρισης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DB74E6" w:rsidRPr="00DB74E6" w:rsidRDefault="00DB74E6" w:rsidP="00DB74E6">
                  <w:pPr>
                    <w:spacing w:before="45" w:after="45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</w:pPr>
                  <w:r w:rsidRPr="00DB74E6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el-GR"/>
                    </w:rPr>
                    <w:t>€195</w:t>
                  </w:r>
                </w:p>
              </w:tc>
            </w:tr>
          </w:tbl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(β)        </w:t>
            </w: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Απώλεια οικονομικού οφέλους (απόδοσης) από το έργο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Υπολογίζεται το οικονομικό όφελος που η αναθέτουσα αρχή αναμένει να αποκομίσει από το έργο.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Όπου υπάρχει μελέτη σκοπιμότητας του έργου λαμβάνεται υπόψη ο Εσωτερικός Συντελεστής Απόδοσης του έργου που προκύπτει από τη σχετική μελέτη (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Internal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Rate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of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Return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– IRR).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Εάν για παράδειγμα IRR = 10% τότε το οικονομικό όφελος θα είναι ίσο με:</w:t>
            </w:r>
          </w:p>
          <w:p w:rsidR="00DB74E6" w:rsidRPr="00DB74E6" w:rsidRDefault="00DB74E6" w:rsidP="00DB74E6">
            <w:pPr>
              <w:spacing w:before="45" w:after="15" w:line="240" w:lineRule="auto"/>
              <w:ind w:left="705" w:firstLine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€2.000.000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Χ 10 </w:t>
            </w:r>
            <w:r w:rsidRPr="00DB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% 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..........................................................................€548</w:t>
            </w:r>
          </w:p>
          <w:p w:rsidR="00DB74E6" w:rsidRPr="00DB74E6" w:rsidRDefault="00DB74E6" w:rsidP="00DB74E6">
            <w:pPr>
              <w:spacing w:before="45" w:after="15" w:line="240" w:lineRule="auto"/>
              <w:ind w:left="705" w:firstLine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365 ημέρες</w:t>
            </w:r>
          </w:p>
          <w:p w:rsidR="00DB74E6" w:rsidRPr="00DB74E6" w:rsidRDefault="00DB74E6" w:rsidP="00DB74E6">
            <w:pPr>
              <w:spacing w:before="45" w:after="15" w:line="240" w:lineRule="auto"/>
              <w:ind w:left="705" w:firstLine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Εναλλακτικά, σε περίπτωση που είναι δύσκολος ο υπολογισμός του οφέλους (απόδοσης) του έργου θα λαμβάνεται υπόψη το κόστος της κεφαλαιουχικής δαπάνης του έργου, για παράδειγμα:</w:t>
            </w:r>
          </w:p>
          <w:p w:rsidR="00DB74E6" w:rsidRPr="00DB74E6" w:rsidRDefault="00DB74E6" w:rsidP="00DB74E6">
            <w:pPr>
              <w:spacing w:before="30" w:after="30" w:line="240" w:lineRule="auto"/>
              <w:ind w:left="705" w:firstLine="3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€2.000.000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  Χ 8</w:t>
            </w:r>
            <w:r w:rsidRPr="00DB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%  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*</w:t>
            </w:r>
          </w:p>
          <w:p w:rsidR="00DB74E6" w:rsidRPr="00DB74E6" w:rsidRDefault="00DB74E6" w:rsidP="00DB74E6">
            <w:pPr>
              <w:spacing w:before="30" w:after="30" w:line="240" w:lineRule="auto"/>
              <w:ind w:left="705" w:firstLine="3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365 ημέρες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* όπως το καθοριζόμενο από την Κεντρική Τράπεζα δανειστικό επιτόκιο (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Lombard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rate</w:t>
            </w:r>
            <w:proofErr w:type="spellEnd"/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).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0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(γ)        </w:t>
            </w: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Ειδικοί λόγοι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Οποιαδήποτε άλλα ειδικά έξοδα, απώλειες ή δαπάνες θα υποστεί η Αναθέτουσα Αρχή για το συγκεκριμένο έργο.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π.χ. Στο έργο επιδιόρθωσης της οροφής ενός εργαστηρίου η καθυστέρηση στη συμπλήρωση του έργου αυτού, θα προκαλούσε καθυστέρηση στην εργασία των τεχνικών του Εργαστηρίου και του προσωπικού της υπηρεσίας οι οποίοι εργάζονται σ’ αυτό.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10 άτομα x €40/ημέρα x 80% (μειωμένη απόδοση)............................. €320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Ή ζημιές οι οποίες εκτιμούνται λόγω μη χρήσης του εργαστηρίου ή από καθυστερημένη χρηματοδότηση από ταμεία π.χ. της Ευρωπαϊκής Ένωσης ή λόγω μείωσης στις εισπράξεις από δικαιώματα/ πώληση αγαθών από την παροχή υπηρεσιών μετ’ αμοιβής κλπ.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ΠΟΣΟ ΗΜΕΡΗΣΙΑΣ ΖΗΜΙΑΣ ΕΡΓΟΔΟΤΗ.................................€1063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l-GR"/>
              </w:rPr>
              <w:t>Έλεγχος λογικότητας ποσού</w:t>
            </w:r>
          </w:p>
          <w:p w:rsidR="00DB74E6" w:rsidRPr="00DB74E6" w:rsidRDefault="00DB74E6" w:rsidP="00DB74E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      Μέση ημερήσια αξία έργου = </w:t>
            </w:r>
            <w:r w:rsidRPr="00DB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l-GR"/>
              </w:rPr>
              <w:t>€2.000.000</w:t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= €4.000</w:t>
            </w:r>
          </w:p>
          <w:p w:rsidR="00DB74E6" w:rsidRPr="00DB74E6" w:rsidRDefault="00DB74E6" w:rsidP="00DB74E6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lastRenderedPageBreak/>
              <w:t>                                              500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Ημερήσια ζημιά εργοδότη (ως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ποσοστό επί της ημερήσιας      = </w:t>
            </w:r>
            <w:r w:rsidRPr="00DB74E6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el-GR"/>
              </w:rPr>
              <w:drawing>
                <wp:inline distT="0" distB="0" distL="0" distR="0" wp14:anchorId="0F9B2264" wp14:editId="4D830D06">
                  <wp:extent cx="714375" cy="390525"/>
                  <wp:effectExtent l="0" t="0" r="9525" b="9525"/>
                  <wp:docPr id="1" name="Picture 1" descr="http://publicprocurementguides.treasury.intranet.gov.cy/OHS-GR/HTML/embim1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ublicprocurementguides.treasury.intranet.gov.cy/OHS-GR/HTML/embim1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= 26.6%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αξίας του έργου)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Επειδή το ποσοστό υπερβαίνει το όριο του 20% ορίζεται ως ποινική ρήτρα το ποσό των 4.000 x 20% = €800/ημέρα.</w:t>
            </w:r>
          </w:p>
          <w:p w:rsidR="00DB74E6" w:rsidRPr="00DB74E6" w:rsidRDefault="00DB74E6" w:rsidP="00DB74E6">
            <w:pPr>
              <w:spacing w:before="45" w:after="45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Σε περίπτωση όμως που ο χρόνος εκτέλεσης του έργου ήταν μεγάλης σημασίας θα μπορούσε, μετά από έγκριση του Προϊσταμένου της Αναθέτουσας Αρχής να οριστεί ως ποινική ρήτρα το ποσό των €1.100/ημέρα, δηλ. ποσοστό 27.5% της ημερήσιας αξίας του έργου.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  <w:p w:rsidR="00DB74E6" w:rsidRPr="00DB74E6" w:rsidRDefault="00DB74E6" w:rsidP="00DB74E6">
            <w:pPr>
              <w:spacing w:before="45" w:after="4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</w:pPr>
            <w:r w:rsidRPr="00DB74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351258" w:rsidRDefault="00351258"/>
    <w:sectPr w:rsidR="00351258" w:rsidSect="00DB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E6" w:rsidRDefault="00DB74E6" w:rsidP="00DB74E6">
      <w:pPr>
        <w:spacing w:after="0" w:line="240" w:lineRule="auto"/>
      </w:pPr>
      <w:r>
        <w:separator/>
      </w:r>
    </w:p>
  </w:endnote>
  <w:endnote w:type="continuationSeparator" w:id="0">
    <w:p w:rsidR="00DB74E6" w:rsidRDefault="00DB74E6" w:rsidP="00DB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7E" w:rsidRDefault="00592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8CE0C5C1222048BC80CE19F745A52B25"/>
      </w:placeholder>
      <w:temporary/>
      <w:showingPlcHdr/>
    </w:sdtPr>
    <w:sdtContent>
      <w:p w:rsidR="00DB74E6" w:rsidRDefault="00DB74E6">
        <w:pPr>
          <w:pStyle w:val="Footer"/>
        </w:pPr>
        <w:r>
          <w:t>[Type text]</w:t>
        </w:r>
      </w:p>
    </w:sdtContent>
  </w:sdt>
  <w:p w:rsidR="00DB74E6" w:rsidRDefault="00DB7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E6" w:rsidRPr="005110E7" w:rsidRDefault="00592F7E" w:rsidP="00DB74E6">
    <w:pPr>
      <w:pStyle w:val="FootnoteText"/>
      <w:spacing w:before="0"/>
      <w:rPr>
        <w:lang w:val="el-GR"/>
      </w:rPr>
    </w:pPr>
    <w:r>
      <w:rPr>
        <w:rFonts w:cs="Arial"/>
        <w:lang w:val="el-GR"/>
      </w:rPr>
      <w:t>*</w:t>
    </w:r>
    <w:r w:rsidR="00DB74E6">
      <w:rPr>
        <w:lang w:val="el-GR"/>
      </w:rPr>
      <w:t xml:space="preserve">Το παρόν υπόδειγμα </w:t>
    </w:r>
    <w:r w:rsidR="00DB74E6">
      <w:rPr>
        <w:lang w:val="el-GR"/>
      </w:rPr>
      <w:t>Έκθεσης αποτελεί το Παράρτημα Ι</w:t>
    </w:r>
    <w:r w:rsidR="00DB74E6">
      <w:t>V</w:t>
    </w:r>
    <w:r w:rsidR="00DB74E6">
      <w:rPr>
        <w:lang w:val="el-GR"/>
      </w:rPr>
      <w:t xml:space="preserve"> του Παραρτήματος Δ της Εγκυκλίου ΚΕΑΑ 1 που έχει εκδώσει η Κεντρική Επιτροπή Αλλαγών και Απαιτήσεων.</w:t>
    </w:r>
  </w:p>
  <w:p w:rsidR="00DB74E6" w:rsidRDefault="00DB74E6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E6" w:rsidRDefault="00DB74E6" w:rsidP="00DB74E6">
      <w:pPr>
        <w:spacing w:after="0" w:line="240" w:lineRule="auto"/>
      </w:pPr>
      <w:r>
        <w:separator/>
      </w:r>
    </w:p>
  </w:footnote>
  <w:footnote w:type="continuationSeparator" w:id="0">
    <w:p w:rsidR="00DB74E6" w:rsidRDefault="00DB74E6" w:rsidP="00DB7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7E" w:rsidRDefault="00592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7E" w:rsidRDefault="00592F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7E" w:rsidRDefault="00592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E6"/>
    <w:rsid w:val="00351258"/>
    <w:rsid w:val="00592F7E"/>
    <w:rsid w:val="00D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E6"/>
  </w:style>
  <w:style w:type="paragraph" w:styleId="Footer">
    <w:name w:val="footer"/>
    <w:basedOn w:val="Normal"/>
    <w:link w:val="FooterChar"/>
    <w:uiPriority w:val="99"/>
    <w:unhideWhenUsed/>
    <w:rsid w:val="00DB7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E6"/>
  </w:style>
  <w:style w:type="paragraph" w:styleId="FootnoteText">
    <w:name w:val="footnote text"/>
    <w:basedOn w:val="Normal"/>
    <w:link w:val="FootnoteTextChar"/>
    <w:semiHidden/>
    <w:rsid w:val="00DB74E6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B74E6"/>
    <w:rPr>
      <w:rFonts w:ascii="Arial" w:eastAsia="Times New Roman" w:hAnsi="Arial" w:cs="Times New Roman"/>
      <w:i/>
      <w:sz w:val="20"/>
      <w:szCs w:val="20"/>
      <w:lang w:val="en-US"/>
    </w:rPr>
  </w:style>
  <w:style w:type="paragraph" w:customStyle="1" w:styleId="CharChar1CharCharCharCharCharCharCharCharCharCharCharCharChar">
    <w:name w:val=" Char Char1 Char Char Char Char Char Char Char Char Char Char Char Char Char"/>
    <w:basedOn w:val="Normal"/>
    <w:autoRedefine/>
    <w:rsid w:val="00DB7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7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E6"/>
  </w:style>
  <w:style w:type="paragraph" w:styleId="Footer">
    <w:name w:val="footer"/>
    <w:basedOn w:val="Normal"/>
    <w:link w:val="FooterChar"/>
    <w:uiPriority w:val="99"/>
    <w:unhideWhenUsed/>
    <w:rsid w:val="00DB7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E6"/>
  </w:style>
  <w:style w:type="paragraph" w:styleId="FootnoteText">
    <w:name w:val="footnote text"/>
    <w:basedOn w:val="Normal"/>
    <w:link w:val="FootnoteTextChar"/>
    <w:semiHidden/>
    <w:rsid w:val="00DB74E6"/>
    <w:pPr>
      <w:overflowPunct w:val="0"/>
      <w:autoSpaceDE w:val="0"/>
      <w:autoSpaceDN w:val="0"/>
      <w:adjustRightInd w:val="0"/>
      <w:spacing w:before="120" w:after="0" w:line="300" w:lineRule="atLeast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B74E6"/>
    <w:rPr>
      <w:rFonts w:ascii="Arial" w:eastAsia="Times New Roman" w:hAnsi="Arial" w:cs="Times New Roman"/>
      <w:i/>
      <w:sz w:val="20"/>
      <w:szCs w:val="20"/>
      <w:lang w:val="en-US"/>
    </w:rPr>
  </w:style>
  <w:style w:type="paragraph" w:customStyle="1" w:styleId="CharChar1CharCharCharCharCharCharCharCharCharCharCharCharChar">
    <w:name w:val=" Char Char1 Char Char Char Char Char Char Char Char Char Char Char Char Char"/>
    <w:basedOn w:val="Normal"/>
    <w:autoRedefine/>
    <w:rsid w:val="00DB74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90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20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15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319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370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06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645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76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428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769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76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492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31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ublicprocurementguides.treasury.intranet.gov.cy/OHS-GR/HTML/signs.ht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0C5C1222048BC80CE19F745A5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65F4-2C91-417E-BA3C-0C1A4DE0085C}"/>
      </w:docPartPr>
      <w:docPartBody>
        <w:p w:rsidR="00000000" w:rsidRDefault="0072626A" w:rsidP="0072626A">
          <w:pPr>
            <w:pStyle w:val="8CE0C5C1222048BC80CE19F745A52B2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6A"/>
    <w:rsid w:val="007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E0C5C1222048BC80CE19F745A52B25">
    <w:name w:val="8CE0C5C1222048BC80CE19F745A52B25"/>
    <w:rsid w:val="007262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E0C5C1222048BC80CE19F745A52B25">
    <w:name w:val="8CE0C5C1222048BC80CE19F745A52B25"/>
    <w:rsid w:val="00726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3159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Monoyiou</dc:creator>
  <cp:lastModifiedBy>Maria Monoyiou</cp:lastModifiedBy>
  <cp:revision>3</cp:revision>
  <dcterms:created xsi:type="dcterms:W3CDTF">2019-11-29T13:37:00Z</dcterms:created>
  <dcterms:modified xsi:type="dcterms:W3CDTF">2019-11-29T13:40:00Z</dcterms:modified>
</cp:coreProperties>
</file>