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3676"/>
        <w:gridCol w:w="282"/>
      </w:tblGrid>
      <w:tr w:rsidR="005C5745" w:rsidRPr="005C5745" w14:paraId="0612FD39" w14:textId="77777777" w:rsidTr="005C5745">
        <w:trPr>
          <w:tblCellSpacing w:w="0" w:type="dxa"/>
        </w:trPr>
        <w:tc>
          <w:tcPr>
            <w:tcW w:w="0" w:type="auto"/>
            <w:shd w:val="clear" w:color="auto" w:fill="FFFFFF"/>
            <w:vAlign w:val="center"/>
            <w:hideMark/>
          </w:tcPr>
          <w:p w14:paraId="4CCB3925"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bookmarkStart w:id="0" w:name="_GoBack"/>
            <w:bookmarkEnd w:id="0"/>
            <w:r w:rsidRPr="005C5745">
              <w:rPr>
                <w:rFonts w:ascii="Verdana" w:eastAsia="Times New Roman" w:hAnsi="Verdana" w:cs="Times New Roman"/>
                <w:b/>
                <w:bCs/>
                <w:color w:val="333399"/>
                <w:lang w:val="el-GR" w:eastAsia="en-GB"/>
              </w:rPr>
              <w:t xml:space="preserve">ΠΑΡΑΡΤΗΜΑ 1-3: ΟΔΗΓΙΕΣ ΓΙΑ ΤΗΝ ΕΚΠΟΝΗΣΗ ΑΝΑΛΥΣΗΣ ΚΟΣΤΟΥΣ-ΟΦΕΛΟΥΣ </w:t>
            </w:r>
          </w:p>
        </w:tc>
        <w:tc>
          <w:tcPr>
            <w:tcW w:w="0" w:type="auto"/>
            <w:shd w:val="clear" w:color="auto" w:fill="FFFFFF"/>
            <w:vAlign w:val="center"/>
            <w:hideMark/>
          </w:tcPr>
          <w:p w14:paraId="2B5C115E" w14:textId="42A47DB9" w:rsidR="005C5745" w:rsidRPr="005C5745" w:rsidRDefault="005C5745" w:rsidP="005C5745">
            <w:pPr>
              <w:spacing w:after="0" w:line="240" w:lineRule="auto"/>
              <w:jc w:val="right"/>
              <w:rPr>
                <w:rFonts w:ascii="Verdana" w:eastAsia="Times New Roman" w:hAnsi="Verdana" w:cs="Times New Roman"/>
                <w:color w:val="000000"/>
                <w:sz w:val="18"/>
                <w:szCs w:val="18"/>
                <w:lang w:eastAsia="en-GB"/>
              </w:rPr>
            </w:pPr>
            <w:r w:rsidRPr="005C5745">
              <w:rPr>
                <w:rFonts w:ascii="Verdana" w:eastAsia="Times New Roman" w:hAnsi="Verdana" w:cs="Times New Roman"/>
                <w:color w:val="000000"/>
                <w:sz w:val="16"/>
                <w:szCs w:val="16"/>
                <w:lang w:eastAsia="en-GB"/>
              </w:rPr>
              <w:t xml:space="preserve">  </w:t>
            </w:r>
          </w:p>
        </w:tc>
      </w:tr>
    </w:tbl>
    <w:p w14:paraId="21891E6B" w14:textId="77777777" w:rsidR="005C5745" w:rsidRPr="005C5745" w:rsidRDefault="005C5745" w:rsidP="005C5745">
      <w:pPr>
        <w:spacing w:after="0" w:line="240" w:lineRule="auto"/>
        <w:rPr>
          <w:rFonts w:ascii="Verdana" w:eastAsia="Times New Roman" w:hAnsi="Verdana" w:cs="Times New Roman"/>
          <w:vanish/>
          <w:color w:val="000000"/>
          <w:sz w:val="18"/>
          <w:szCs w:val="18"/>
          <w:lang w:eastAsia="en-G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3958"/>
      </w:tblGrid>
      <w:tr w:rsidR="005C5745" w:rsidRPr="005C5745" w14:paraId="2482B4E1" w14:textId="77777777" w:rsidTr="005C5745">
        <w:trPr>
          <w:tblCellSpacing w:w="0" w:type="dxa"/>
        </w:trPr>
        <w:tc>
          <w:tcPr>
            <w:tcW w:w="0" w:type="auto"/>
            <w:hideMark/>
          </w:tcPr>
          <w:p w14:paraId="2460B6E1"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Οι παράγραφοι που ακολουθούν παρέχουν οδηγίες για την εκπόνηση μίας «απλής» Ανάλυσης Κόστους-Οφέλους χρησιμοποιώντας την ακόλουθη μελέτη περίπτωσης για μία εικονική επενδυτική απόφαση. </w:t>
            </w:r>
          </w:p>
          <w:p w14:paraId="2D549E92"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8"/>
                <w:szCs w:val="18"/>
                <w:lang w:val="el-GR" w:eastAsia="en-GB"/>
              </w:rPr>
              <w:t xml:space="preserve">Μελέτη Περίπτωσης: Εκπόνηση Ανάλυσης Κόστους-Οφέλους για μία επενδυτική απόφαση </w:t>
            </w:r>
          </w:p>
          <w:tbl>
            <w:tblPr>
              <w:tblW w:w="0" w:type="auto"/>
              <w:shd w:val="clear" w:color="auto" w:fill="CCFFFF"/>
              <w:tblCellMar>
                <w:left w:w="0" w:type="dxa"/>
                <w:right w:w="0" w:type="dxa"/>
              </w:tblCellMar>
              <w:tblLook w:val="04A0" w:firstRow="1" w:lastRow="0" w:firstColumn="1" w:lastColumn="0" w:noHBand="0" w:noVBand="1"/>
            </w:tblPr>
            <w:tblGrid>
              <w:gridCol w:w="13792"/>
            </w:tblGrid>
            <w:tr w:rsidR="005C5745" w:rsidRPr="005C5745" w14:paraId="70FD39C3" w14:textId="77777777" w:rsidTr="005C5745">
              <w:tc>
                <w:tcPr>
                  <w:tcW w:w="0" w:type="auto"/>
                  <w:tcBorders>
                    <w:top w:val="single" w:sz="6" w:space="0" w:color="000000"/>
                    <w:left w:val="single" w:sz="6" w:space="0" w:color="000000"/>
                    <w:bottom w:val="single" w:sz="6" w:space="0" w:color="000000"/>
                    <w:right w:val="single" w:sz="6" w:space="0" w:color="000000"/>
                  </w:tcBorders>
                  <w:shd w:val="clear" w:color="auto" w:fill="CCFFFF"/>
                  <w:hideMark/>
                </w:tcPr>
                <w:p w14:paraId="22540FCC"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Ένας Δήμος έχει στην ιδιοκτησία του ένα μεγάλο χώρο στάθμευσης στο κέντρο της πόλης, δυναμικότητας 150 αυτοκινήτων/ημέρα. Ο Δήμος χρεώνει €3/ημέρα για κάθε αυτοκίνητο που χρησιμοποιεί το χώρο στάθμευσης, ο οποίος είναι σχεδόν πλήρης 365 ημέρες το χρόνο. Ο χώρος στάθμευσης είναι αρκετά παλιός, ενώ επιπλέον δεν μπορεί να καλύψει τις αυξημένες ανάγκες στάθμευσης των δημοτών. Για τους λόγους αυτούς, ο Δήμος εξετάζει το ενδεχόμενο να επενδύσει €1.000.000 προκειμένου να αναβαθμίσει τις υφιστάμενες εγκαταστάσεις στάθμευσης και να αυξήσει τη δυναμικότητα του χώρου στάθμευσης σε</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250 αυτοκίνητα/ημέρα, αυξάνοντας παράλληλα τη χρέωση σε €4/ημέρα. Μετά την πραγματοποίηση της επένδυσης, ο Δήμος θα πρέπει να πληρώνει ανά 5ετία εφάπαξ ποσό €30.000 για τη συντήρηση της υποδομής.</w:t>
                  </w:r>
                </w:p>
                <w:p w14:paraId="0DEEC6E6"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Σημειώνεται ότι αν ο Δήμος αποφασίσει να μην πραγματοποιήσει την επένδυση, θα πρέπει τουλάχιστον να πραγματοποιήσει (εντός του έτους) στοιχειώδη ανακαίνιση του υφιστάμενου χώρου στάθμευσης (π.χ. ελαιοχρωματισμό, τοποθέτηση σήμανσης κλπ.), που θα κοστίσει περίπου €60.000, καθώς και αναβάθμιση του συστήματος πυρόσβεσης (τον επόμενο χρόνο), που θα κοστίσει €80.000. </w:t>
                  </w:r>
                </w:p>
                <w:p w14:paraId="1C512B77"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Εξετάστε την περίπτωση και αποφασίστε αν ο Δήμος θα πρέπει να προχωρήσει στην επένδυση ή όχι.</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r w:rsidRPr="005C5745">
                    <w:rPr>
                      <w:rFonts w:ascii="Arial" w:eastAsia="Times New Roman" w:hAnsi="Arial" w:cs="Arial"/>
                      <w:color w:val="000000"/>
                      <w:lang w:eastAsia="en-GB"/>
                    </w:rPr>
                    <w:t>  </w:t>
                  </w:r>
                  <w:r w:rsidRPr="005C5745">
                    <w:rPr>
                      <w:rFonts w:ascii="Arial" w:eastAsia="Times New Roman" w:hAnsi="Arial" w:cs="Arial"/>
                      <w:color w:val="000000"/>
                      <w:lang w:val="el-GR" w:eastAsia="en-GB"/>
                    </w:rPr>
                    <w:t xml:space="preserve"> </w:t>
                  </w:r>
                </w:p>
              </w:tc>
            </w:tr>
          </w:tbl>
          <w:p w14:paraId="3D9DDD42"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eastAsia="en-GB"/>
              </w:rPr>
              <w:t> </w:t>
            </w:r>
          </w:p>
          <w:p w14:paraId="6C3E0AB6" w14:textId="77777777" w:rsidR="005C5745" w:rsidRPr="005C5745" w:rsidRDefault="005C5745" w:rsidP="005C5745">
            <w:pPr>
              <w:pBdr>
                <w:top w:val="single" w:sz="6" w:space="1" w:color="000000"/>
                <w:left w:val="single" w:sz="6" w:space="4" w:color="000000"/>
                <w:bottom w:val="single" w:sz="6" w:space="1" w:color="000000"/>
                <w:right w:val="single" w:sz="6" w:space="4" w:color="000000"/>
              </w:pBdr>
              <w:shd w:val="clear" w:color="auto" w:fill="FFFF99"/>
              <w:spacing w:before="30" w:after="30" w:line="240" w:lineRule="auto"/>
              <w:ind w:left="-75" w:right="-75"/>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Προσδιορισμός της διάρκειας ζωής της επένδυσης/ του Έργου – Περίοδος Ανάλυσης</w:t>
            </w:r>
          </w:p>
          <w:p w14:paraId="232DCAE0"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drawing>
                <wp:inline distT="0" distB="0" distL="0" distR="0" wp14:anchorId="77732D7D" wp14:editId="18A4FBAA">
                  <wp:extent cx="400050" cy="257175"/>
                  <wp:effectExtent l="0" t="0" r="0" b="9525"/>
                  <wp:docPr id="1" name="Picture 1" descr="http://www.publicprocurementguides.treasury.gov.cy/OHS-GR/HTML/embim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blicprocurementguides.treasury.gov.cy/OHS-GR/HTML/embim95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 xml:space="preserve">Για να αναλύσουμε την κερδοφορία μίας επένδυσης πρέπει να γνωρίζουμε την εκτιμώμενη </w:t>
            </w:r>
            <w:r w:rsidRPr="005C5745">
              <w:rPr>
                <w:rFonts w:ascii="Verdana" w:eastAsia="Times New Roman" w:hAnsi="Verdana" w:cs="Times New Roman"/>
                <w:b/>
                <w:bCs/>
                <w:color w:val="000080"/>
                <w:sz w:val="18"/>
                <w:szCs w:val="18"/>
                <w:lang w:val="el-GR" w:eastAsia="en-GB"/>
              </w:rPr>
              <w:t>διάρκεια ζωής</w:t>
            </w:r>
            <w:r w:rsidRPr="005C5745">
              <w:rPr>
                <w:rFonts w:ascii="Verdana" w:eastAsia="Times New Roman" w:hAnsi="Verdana" w:cs="Times New Roman"/>
                <w:color w:val="000000"/>
                <w:sz w:val="18"/>
                <w:szCs w:val="18"/>
                <w:lang w:val="el-GR" w:eastAsia="en-GB"/>
              </w:rPr>
              <w:t xml:space="preserve"> της επένδυσης, που μπορεί να κυμαίνεται από μερικές εβδομάδες (π.χ. προμήθεια αναλωσίμων για εκτυπωτές) έως τριάντα ή περισσότερα χρόνια (π.χ. κατασκευή δικτύου ύδρευσης). Η περίοδος ανάλυσης θα πρέπει να περιλαμβάνει την ωφέλιμη ζωή της επένδυσης/ του Έργου. Η ωφέλιμη ζωή μίας επένδυσης/ ενός Έργου ποικίλλει ανάλογα με το είδος αυτών: για παράδειγμα, τα κτίρια έχουν συνήθως μεγαλύτερη διάρκεια ζωής από τον εξοπλισμό. Ωστόσο, για ορισμένες επενδύσεις δεν είναι δυνατός ο προσδιορισμός ενός πεπερασμένου μεγέθους ως διάρκεια ζωής του παγίου (π.χ. εγκαταστάσεις επεξεργασίας αποβλήτων, συγκοινωνιακές υποδομές). Σε τέτοιες περιπτώσεις συνιστάται η χρησιμοποίηση περιόδου ανάλυσης 20 ετών, γιατί οι επιπτώσεις είναι συνήθως ασήμαντες πέρα από τα 20 έτη, αν ληφθεί υπόψη η χρονική αξία του χρήματος (προεξόφληση).</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p w14:paraId="2ECCB670"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drawing>
                <wp:inline distT="0" distB="0" distL="0" distR="0" wp14:anchorId="0C5767ED" wp14:editId="103AA74C">
                  <wp:extent cx="381000" cy="304800"/>
                  <wp:effectExtent l="0" t="0" r="0" b="0"/>
                  <wp:docPr id="2" name="Picture 2" descr="http://www.publicprocurementguides.treasury.gov.cy/OHS-GR/HTML/embim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blicprocurementguides.treasury.gov.cy/OHS-GR/HTML/embim95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 xml:space="preserve">Αυτό που είναι πολύ σημαντικό και θα πρέπει να περιλαμβάνεται στην ανάλυση είναι η </w:t>
            </w:r>
            <w:r w:rsidRPr="005C5745">
              <w:rPr>
                <w:rFonts w:ascii="Verdana" w:eastAsia="Times New Roman" w:hAnsi="Verdana" w:cs="Times New Roman"/>
                <w:b/>
                <w:bCs/>
                <w:color w:val="000080"/>
                <w:sz w:val="18"/>
                <w:szCs w:val="18"/>
                <w:lang w:val="el-GR" w:eastAsia="en-GB"/>
              </w:rPr>
              <w:t xml:space="preserve">υπολειμματική αξία </w:t>
            </w:r>
            <w:r w:rsidRPr="005C5745">
              <w:rPr>
                <w:rFonts w:ascii="Verdana" w:eastAsia="Times New Roman" w:hAnsi="Verdana" w:cs="Times New Roman"/>
                <w:color w:val="000000"/>
                <w:sz w:val="18"/>
                <w:szCs w:val="18"/>
                <w:lang w:val="el-GR" w:eastAsia="en-GB"/>
              </w:rPr>
              <w:t xml:space="preserve">του Έργου στο τέλος της περιόδου ανάλυσης. Για παράδειγμα, η υπολειμματική αξία ενός αυτοκινήτου στο τέλος μίας 5ετίας είναι το ποσό που αναμένει να λάβει ο ιδιοκτήτης αν πουλήσει το αυτοκίνητο μετά από 5 χρόνια. Ο </w:t>
            </w:r>
            <w:proofErr w:type="spellStart"/>
            <w:r w:rsidRPr="005C5745">
              <w:rPr>
                <w:rFonts w:ascii="Verdana" w:eastAsia="Times New Roman" w:hAnsi="Verdana" w:cs="Times New Roman"/>
                <w:color w:val="000000"/>
                <w:sz w:val="18"/>
                <w:szCs w:val="18"/>
                <w:lang w:val="el-GR" w:eastAsia="en-GB"/>
              </w:rPr>
              <w:t>συνιστώμενος</w:t>
            </w:r>
            <w:proofErr w:type="spellEnd"/>
            <w:r w:rsidRPr="005C5745">
              <w:rPr>
                <w:rFonts w:ascii="Verdana" w:eastAsia="Times New Roman" w:hAnsi="Verdana" w:cs="Times New Roman"/>
                <w:color w:val="000000"/>
                <w:sz w:val="18"/>
                <w:szCs w:val="18"/>
                <w:lang w:val="el-GR" w:eastAsia="en-GB"/>
              </w:rPr>
              <w:t xml:space="preserve"> τρόπος για την εκτίμηση της υπολειμματικής αξίας είναι ο προσδιορισμός της τρέχουσας τιμής στην οποία παρόμοια περιουσιακά στοιχεία με συγκρίσιμη ηλικία πωλούνται στις εμπορικές αγορές. </w:t>
            </w:r>
          </w:p>
          <w:tbl>
            <w:tblPr>
              <w:tblW w:w="0" w:type="auto"/>
              <w:shd w:val="clear" w:color="auto" w:fill="CCFFFF"/>
              <w:tblCellMar>
                <w:left w:w="0" w:type="dxa"/>
                <w:right w:w="0" w:type="dxa"/>
              </w:tblCellMar>
              <w:tblLook w:val="04A0" w:firstRow="1" w:lastRow="0" w:firstColumn="1" w:lastColumn="0" w:noHBand="0" w:noVBand="1"/>
            </w:tblPr>
            <w:tblGrid>
              <w:gridCol w:w="13792"/>
            </w:tblGrid>
            <w:tr w:rsidR="005C5745" w:rsidRPr="005C5745" w14:paraId="0E35F81D" w14:textId="77777777" w:rsidTr="005C5745">
              <w:tc>
                <w:tcPr>
                  <w:tcW w:w="0" w:type="auto"/>
                  <w:tcBorders>
                    <w:top w:val="single" w:sz="6" w:space="0" w:color="000000"/>
                    <w:left w:val="single" w:sz="6" w:space="0" w:color="000000"/>
                    <w:bottom w:val="single" w:sz="6" w:space="0" w:color="000000"/>
                    <w:right w:val="single" w:sz="6" w:space="0" w:color="000000"/>
                  </w:tcBorders>
                  <w:shd w:val="clear" w:color="auto" w:fill="CCFFFF"/>
                  <w:hideMark/>
                </w:tcPr>
                <w:p w14:paraId="7E7FAFF7"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Στην περίπτωσή μας θα χρησιμοποιήσουμε </w:t>
                  </w:r>
                  <w:r w:rsidRPr="005C5745">
                    <w:rPr>
                      <w:rFonts w:ascii="Verdana" w:eastAsia="Times New Roman" w:hAnsi="Verdana" w:cs="Times New Roman"/>
                      <w:b/>
                      <w:bCs/>
                      <w:color w:val="000000"/>
                      <w:sz w:val="18"/>
                      <w:szCs w:val="18"/>
                      <w:lang w:val="el-GR" w:eastAsia="en-GB"/>
                    </w:rPr>
                    <w:t>περίοδο ανάλυσης 10 ετών</w:t>
                  </w:r>
                  <w:r w:rsidRPr="005C5745">
                    <w:rPr>
                      <w:rFonts w:ascii="Verdana" w:eastAsia="Times New Roman" w:hAnsi="Verdana" w:cs="Times New Roman"/>
                      <w:color w:val="000000"/>
                      <w:sz w:val="18"/>
                      <w:szCs w:val="18"/>
                      <w:lang w:val="el-GR" w:eastAsia="en-GB"/>
                    </w:rPr>
                    <w:t>, που είναι εύλογη χρονική περίοδος για μία τέτοια επενδυτική απόφαση. Θα μπορούσαμε, επίσης, να χρησιμοποιήσουμε 20ετή περίοδο, αλλά για λόγους απλότητας (περιορισμός του αριθμού υπολογισμών) και για τους σκοπούς επίδειξης επιλέξαμε μικρότερη περίοδο ανάλυσης.</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p w14:paraId="038E894D"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lastRenderedPageBreak/>
                    <w:t xml:space="preserve">Η </w:t>
                  </w:r>
                  <w:r w:rsidRPr="005C5745">
                    <w:rPr>
                      <w:rFonts w:ascii="Verdana" w:eastAsia="Times New Roman" w:hAnsi="Verdana" w:cs="Times New Roman"/>
                      <w:b/>
                      <w:bCs/>
                      <w:color w:val="000000"/>
                      <w:sz w:val="18"/>
                      <w:szCs w:val="18"/>
                      <w:lang w:val="el-GR" w:eastAsia="en-GB"/>
                    </w:rPr>
                    <w:t xml:space="preserve">υπολειμματική αξία της επένδυσης δεν θα περιληφθεί </w:t>
                  </w:r>
                  <w:r w:rsidRPr="005C5745">
                    <w:rPr>
                      <w:rFonts w:ascii="Verdana" w:eastAsia="Times New Roman" w:hAnsi="Verdana" w:cs="Times New Roman"/>
                      <w:color w:val="000000"/>
                      <w:sz w:val="18"/>
                      <w:szCs w:val="18"/>
                      <w:lang w:val="el-GR" w:eastAsia="en-GB"/>
                    </w:rPr>
                    <w:t>στην ανάλυση, καθώς δεν θα υπάρξει ρευστοποίηση στο τέλος της περιόδου ανάλυσης και συνεπώς ούτε πραγματική εισροή χρημάτων. Αυτό σημαίνει ότι ανεξάρτητα από την τελική απόφαση ο Δήμος θα συνεχίσει να εκμεταλλεύεται το χώρο στάθμευσης ακόμη και μετά τη 10ετία, και δεν πρόκειται να τον πωλήσει (ρευστοποιήσει).</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tc>
            </w:tr>
          </w:tbl>
          <w:p w14:paraId="477C194C"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eastAsia="en-GB"/>
              </w:rPr>
              <w:lastRenderedPageBreak/>
              <w:t> </w:t>
            </w:r>
          </w:p>
          <w:p w14:paraId="7EE34B40" w14:textId="77777777" w:rsidR="005C5745" w:rsidRPr="005C5745" w:rsidRDefault="005C5745" w:rsidP="005C5745">
            <w:pPr>
              <w:pBdr>
                <w:top w:val="single" w:sz="6" w:space="1" w:color="000000"/>
                <w:left w:val="single" w:sz="6" w:space="4" w:color="000000"/>
                <w:bottom w:val="single" w:sz="6" w:space="1" w:color="000000"/>
                <w:right w:val="single" w:sz="6" w:space="4" w:color="000000"/>
              </w:pBdr>
              <w:shd w:val="clear" w:color="auto" w:fill="FFFF99"/>
              <w:spacing w:before="30" w:after="30" w:line="240" w:lineRule="auto"/>
              <w:ind w:left="-75" w:right="-75"/>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 xml:space="preserve">Προσδιορισμός των σχετικών Μεγεθών Κόστους και Οφελών </w:t>
            </w:r>
          </w:p>
          <w:p w14:paraId="70CAE3DD"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drawing>
                <wp:inline distT="0" distB="0" distL="0" distR="0" wp14:anchorId="3530CAED" wp14:editId="2BE5C868">
                  <wp:extent cx="400050" cy="257175"/>
                  <wp:effectExtent l="0" t="0" r="0" b="9525"/>
                  <wp:docPr id="3" name="Picture 3" descr="http://www.publicprocurementguides.treasury.gov.cy/OHS-GR/HTML/embim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blicprocurementguides.treasury.gov.cy/OHS-GR/HTML/embim95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Κατά την προσπάθεια προσδιορισμού όλων των σχετικών μεγεθών κόστους και οφελών, είναι χρήσιμο να έχει κανείς συνεχώς κατά νου το ερώτημα: «Είναι το όφελος ή το κόστος σχετικό και ουσιώδες για την ανάλυση;». Αν ένα προτεινόμενο όφελος ή κόστος είναι εκτός των πλαισίων του αντικειμένου ή η επίπτωσή του στην ανάλυση είναι ασήμαντη και δεν είναι δυνατόν να επηρεάσει την τελική απόφαση, τότε θα πρέπει να παραλείπεται.</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p w14:paraId="32947AD0"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eastAsia="en-GB"/>
              </w:rPr>
            </w:pPr>
            <w:r w:rsidRPr="005C5745">
              <w:rPr>
                <w:rFonts w:ascii="Verdana" w:eastAsia="Times New Roman" w:hAnsi="Verdana" w:cs="Times New Roman"/>
                <w:b/>
                <w:bCs/>
                <w:i/>
                <w:iCs/>
                <w:color w:val="000000"/>
                <w:sz w:val="18"/>
                <w:szCs w:val="18"/>
                <w:u w:val="single"/>
                <w:lang w:eastAsia="en-GB"/>
              </w:rPr>
              <w:t>Βα</w:t>
            </w:r>
            <w:proofErr w:type="spellStart"/>
            <w:r w:rsidRPr="005C5745">
              <w:rPr>
                <w:rFonts w:ascii="Verdana" w:eastAsia="Times New Roman" w:hAnsi="Verdana" w:cs="Times New Roman"/>
                <w:b/>
                <w:bCs/>
                <w:i/>
                <w:iCs/>
                <w:color w:val="000000"/>
                <w:sz w:val="18"/>
                <w:szCs w:val="18"/>
                <w:u w:val="single"/>
                <w:lang w:eastAsia="en-GB"/>
              </w:rPr>
              <w:t>σικές</w:t>
            </w:r>
            <w:proofErr w:type="spellEnd"/>
            <w:r w:rsidRPr="005C5745">
              <w:rPr>
                <w:rFonts w:ascii="Verdana" w:eastAsia="Times New Roman" w:hAnsi="Verdana" w:cs="Times New Roman"/>
                <w:b/>
                <w:bCs/>
                <w:i/>
                <w:iCs/>
                <w:color w:val="000000"/>
                <w:sz w:val="18"/>
                <w:szCs w:val="18"/>
                <w:u w:val="single"/>
                <w:lang w:eastAsia="en-GB"/>
              </w:rPr>
              <w:t xml:space="preserve"> Κα</w:t>
            </w:r>
            <w:proofErr w:type="spellStart"/>
            <w:r w:rsidRPr="005C5745">
              <w:rPr>
                <w:rFonts w:ascii="Verdana" w:eastAsia="Times New Roman" w:hAnsi="Verdana" w:cs="Times New Roman"/>
                <w:b/>
                <w:bCs/>
                <w:i/>
                <w:iCs/>
                <w:color w:val="000000"/>
                <w:sz w:val="18"/>
                <w:szCs w:val="18"/>
                <w:u w:val="single"/>
                <w:lang w:eastAsia="en-GB"/>
              </w:rPr>
              <w:t>τηγορίες</w:t>
            </w:r>
            <w:proofErr w:type="spellEnd"/>
            <w:r w:rsidRPr="005C5745">
              <w:rPr>
                <w:rFonts w:ascii="Verdana" w:eastAsia="Times New Roman" w:hAnsi="Verdana" w:cs="Times New Roman"/>
                <w:b/>
                <w:bCs/>
                <w:i/>
                <w:iCs/>
                <w:color w:val="000000"/>
                <w:sz w:val="18"/>
                <w:szCs w:val="18"/>
                <w:u w:val="single"/>
                <w:lang w:eastAsia="en-GB"/>
              </w:rPr>
              <w:t xml:space="preserve"> </w:t>
            </w:r>
            <w:proofErr w:type="spellStart"/>
            <w:r w:rsidRPr="005C5745">
              <w:rPr>
                <w:rFonts w:ascii="Verdana" w:eastAsia="Times New Roman" w:hAnsi="Verdana" w:cs="Times New Roman"/>
                <w:b/>
                <w:bCs/>
                <w:i/>
                <w:iCs/>
                <w:color w:val="000000"/>
                <w:sz w:val="18"/>
                <w:szCs w:val="18"/>
                <w:u w:val="single"/>
                <w:lang w:eastAsia="en-GB"/>
              </w:rPr>
              <w:t>Σχετικών</w:t>
            </w:r>
            <w:proofErr w:type="spellEnd"/>
            <w:r w:rsidRPr="005C5745">
              <w:rPr>
                <w:rFonts w:ascii="Verdana" w:eastAsia="Times New Roman" w:hAnsi="Verdana" w:cs="Times New Roman"/>
                <w:b/>
                <w:bCs/>
                <w:i/>
                <w:iCs/>
                <w:color w:val="000000"/>
                <w:sz w:val="18"/>
                <w:szCs w:val="18"/>
                <w:u w:val="single"/>
                <w:lang w:eastAsia="en-GB"/>
              </w:rPr>
              <w:t xml:space="preserve"> </w:t>
            </w:r>
            <w:proofErr w:type="spellStart"/>
            <w:r w:rsidRPr="005C5745">
              <w:rPr>
                <w:rFonts w:ascii="Verdana" w:eastAsia="Times New Roman" w:hAnsi="Verdana" w:cs="Times New Roman"/>
                <w:b/>
                <w:bCs/>
                <w:i/>
                <w:iCs/>
                <w:color w:val="000000"/>
                <w:sz w:val="18"/>
                <w:szCs w:val="18"/>
                <w:u w:val="single"/>
                <w:lang w:eastAsia="en-GB"/>
              </w:rPr>
              <w:t>Μεγεθών</w:t>
            </w:r>
            <w:proofErr w:type="spellEnd"/>
            <w:r w:rsidRPr="005C5745">
              <w:rPr>
                <w:rFonts w:ascii="Verdana" w:eastAsia="Times New Roman" w:hAnsi="Verdana" w:cs="Times New Roman"/>
                <w:b/>
                <w:bCs/>
                <w:i/>
                <w:iCs/>
                <w:color w:val="000000"/>
                <w:sz w:val="18"/>
                <w:szCs w:val="18"/>
                <w:u w:val="single"/>
                <w:lang w:eastAsia="en-GB"/>
              </w:rPr>
              <w:t xml:space="preserve"> </w:t>
            </w:r>
            <w:proofErr w:type="spellStart"/>
            <w:r w:rsidRPr="005C5745">
              <w:rPr>
                <w:rFonts w:ascii="Verdana" w:eastAsia="Times New Roman" w:hAnsi="Verdana" w:cs="Times New Roman"/>
                <w:b/>
                <w:bCs/>
                <w:i/>
                <w:iCs/>
                <w:color w:val="000000"/>
                <w:sz w:val="18"/>
                <w:szCs w:val="18"/>
                <w:u w:val="single"/>
                <w:lang w:eastAsia="en-GB"/>
              </w:rPr>
              <w:t>Κόστους</w:t>
            </w:r>
            <w:proofErr w:type="spellEnd"/>
          </w:p>
          <w:tbl>
            <w:tblPr>
              <w:tblW w:w="0" w:type="auto"/>
              <w:tblCellSpacing w:w="0" w:type="dxa"/>
              <w:tblCellMar>
                <w:left w:w="0" w:type="dxa"/>
                <w:right w:w="0" w:type="dxa"/>
              </w:tblCellMar>
              <w:tblLook w:val="04A0" w:firstRow="1" w:lastRow="0" w:firstColumn="1" w:lastColumn="0" w:noHBand="0" w:noVBand="1"/>
            </w:tblPr>
            <w:tblGrid>
              <w:gridCol w:w="195"/>
              <w:gridCol w:w="13613"/>
            </w:tblGrid>
            <w:tr w:rsidR="005C5745" w:rsidRPr="005C5745" w14:paraId="520BB0BF" w14:textId="77777777" w:rsidTr="005C5745">
              <w:trPr>
                <w:tblCellSpacing w:w="0" w:type="dxa"/>
              </w:trPr>
              <w:tc>
                <w:tcPr>
                  <w:tcW w:w="195" w:type="dxa"/>
                  <w:vAlign w:val="bottom"/>
                  <w:hideMark/>
                </w:tcPr>
                <w:p w14:paraId="05385C33"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5E35D3D0"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Κόστος ευκαιρίας</w:t>
                  </w:r>
                  <w:r w:rsidRPr="005C5745">
                    <w:rPr>
                      <w:rFonts w:ascii="Verdana" w:eastAsia="Times New Roman" w:hAnsi="Verdana" w:cs="Times New Roman"/>
                      <w:color w:val="000000"/>
                      <w:sz w:val="18"/>
                      <w:szCs w:val="18"/>
                      <w:lang w:val="el-GR" w:eastAsia="en-GB"/>
                    </w:rPr>
                    <w:t>: Επιλέγοντας έναν συγκεκριμένο τρόπο ενέργειας, χάνονται οι ταμειακές ροές από την επόμενη καλύτερη εναλλακτική επιλογή (ευκαιρία), επομένως αυτό είναι το σχετικό με την απόφαση κόστος ευκαιρίας. Συνεπώς, είναι σημαντικό να εξετάζει κανείς ποιες εναλλακτικές ευκαιρίες μπορεί να υπάρχουν. Ένα παράδειγμα ευκαιρίας είναι η χρησιμοποίηση γης με διαφορετικό ή πιο αποδοτικό τρόπο σε σχέση με την παρούσα χρήση της. Ένα άλλο παράδειγμα ευκαιρίας είναι η εναλλακτική χρησιμοποίηση του χρόνου ενός εργαζομένου π.χ. σε άλλο Έργο.</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tc>
            </w:tr>
            <w:tr w:rsidR="005C5745" w:rsidRPr="005C5745" w14:paraId="3B473D5F" w14:textId="77777777">
              <w:trPr>
                <w:tblCellSpacing w:w="0" w:type="dxa"/>
              </w:trPr>
              <w:tc>
                <w:tcPr>
                  <w:tcW w:w="195" w:type="dxa"/>
                  <w:vAlign w:val="bottom"/>
                  <w:hideMark/>
                </w:tcPr>
                <w:p w14:paraId="25887597"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7F13F266"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Μη ανακτήσιμες δαπάνες</w:t>
                  </w:r>
                  <w:r w:rsidRPr="005C5745">
                    <w:rPr>
                      <w:rFonts w:ascii="Verdana" w:eastAsia="Times New Roman" w:hAnsi="Verdana" w:cs="Times New Roman"/>
                      <w:color w:val="000000"/>
                      <w:sz w:val="18"/>
                      <w:szCs w:val="18"/>
                      <w:lang w:val="el-GR" w:eastAsia="en-GB"/>
                    </w:rPr>
                    <w:t xml:space="preserve">: Πρόκειται για κόστη που δημιουργούνται πριν φτάσει η στιγμή της απόφασης, επομένως ανεξάρτητα από την απόφαση (θετική ή αρνητική) τα χρήματα αυτά έχουν ξοδευτεί. </w:t>
                  </w:r>
                  <w:r w:rsidRPr="005C5745">
                    <w:rPr>
                      <w:rFonts w:ascii="Verdana" w:eastAsia="Times New Roman" w:hAnsi="Verdana" w:cs="Times New Roman"/>
                      <w:b/>
                      <w:bCs/>
                      <w:color w:val="000000"/>
                      <w:sz w:val="18"/>
                      <w:szCs w:val="18"/>
                      <w:lang w:val="el-GR" w:eastAsia="en-GB"/>
                    </w:rPr>
                    <w:t>Οι μη ανακτήσιμες δαπάνες δεν είναι σχετικές με την απόφαση</w:t>
                  </w:r>
                  <w:r w:rsidRPr="005C5745">
                    <w:rPr>
                      <w:rFonts w:ascii="Verdana" w:eastAsia="Times New Roman" w:hAnsi="Verdana" w:cs="Times New Roman"/>
                      <w:color w:val="000000"/>
                      <w:sz w:val="18"/>
                      <w:szCs w:val="18"/>
                      <w:lang w:val="el-GR" w:eastAsia="en-GB"/>
                    </w:rPr>
                    <w:t>, αν και μπορεί να έχουν δημιουργηθεί για τη συλλογή δεδομένων στα οποία βασίζεται η απόφαση. Για παράδειγμα, η μελέτη σκοπιμότητας πριν από την εγκατάσταση ενός νέου συστήματος Η/Υ ή η έρευνα μάρκετινγκ πριν από τη δέσμευση σε ένα νέο προϊόν αποτελούν μη ανακτήσιμες δαπάνες, που δεν θα πρέπει να παίζουν ρόλο στην ανάλυση για τη λήψη της απόφασης.</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tc>
            </w:tr>
          </w:tbl>
          <w:p w14:paraId="370A4B57"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13613"/>
            </w:tblGrid>
            <w:tr w:rsidR="005C5745" w:rsidRPr="005C5745" w14:paraId="69BEE8CC" w14:textId="77777777" w:rsidTr="005C5745">
              <w:trPr>
                <w:tblCellSpacing w:w="0" w:type="dxa"/>
              </w:trPr>
              <w:tc>
                <w:tcPr>
                  <w:tcW w:w="195" w:type="dxa"/>
                  <w:vAlign w:val="bottom"/>
                  <w:hideMark/>
                </w:tcPr>
                <w:p w14:paraId="20F91CAD"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0FCDEB0C"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Κόστος επένδυσης</w:t>
                  </w:r>
                  <w:r w:rsidRPr="005C5745">
                    <w:rPr>
                      <w:rFonts w:ascii="Verdana" w:eastAsia="Times New Roman" w:hAnsi="Verdana" w:cs="Times New Roman"/>
                      <w:color w:val="000000"/>
                      <w:sz w:val="18"/>
                      <w:szCs w:val="18"/>
                      <w:lang w:val="el-GR" w:eastAsia="en-GB"/>
                    </w:rPr>
                    <w:t xml:space="preserve">: Πρόκειται για το κόστος που σχετίζεται άμεσα με την πραγματοποίηση της επένδυσης. Για παράδειγμα, το κόστος αγοράς, μίσθωσης ή χρηματοδοτικής μίσθωσης γης, κτιρίων, εξοπλισμού, μηχανημάτων, οχημάτων και υλικών/προϊόντων γενικά, ή το κόστος κατασκευής κτιρίου, εγκατάστασης, δρόμου, γέφυρας και υποδομών γενικά, ή το κόστος πρόσληψης εξωτερικού συμβούλου/ εταιρείας συμβούλων, ή το κόστος ανακαίνισης ή έκτακτης συντήρησης ενός περιουσιακού στοιχείου. </w:t>
                  </w:r>
                </w:p>
              </w:tc>
            </w:tr>
            <w:tr w:rsidR="005C5745" w:rsidRPr="005C5745" w14:paraId="6E0670BF" w14:textId="77777777">
              <w:trPr>
                <w:tblCellSpacing w:w="0" w:type="dxa"/>
              </w:trPr>
              <w:tc>
                <w:tcPr>
                  <w:tcW w:w="195" w:type="dxa"/>
                  <w:vAlign w:val="bottom"/>
                  <w:hideMark/>
                </w:tcPr>
                <w:p w14:paraId="5BF5D836"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0174845C"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Λειτουργικό κόστος</w:t>
                  </w:r>
                  <w:r w:rsidRPr="005C5745">
                    <w:rPr>
                      <w:rFonts w:ascii="Verdana" w:eastAsia="Times New Roman" w:hAnsi="Verdana" w:cs="Times New Roman"/>
                      <w:color w:val="000000"/>
                      <w:sz w:val="18"/>
                      <w:szCs w:val="18"/>
                      <w:lang w:val="el-GR" w:eastAsia="en-GB"/>
                    </w:rPr>
                    <w:t>: Πρόκειται για δαπάνες που προκύπτουν από τη χρησιμοποίηση ενός περιουσιακού στοιχείου ή μίας υπηρεσίας. Για παράδειγμα, το κόστος εργασίας (μισθοί, επιδόματα, άλλες παροχές), χρήσης δικτύων κοινής ωφέλειας (π.χ. κατανάλωση ενέργειας για θέρμανση, ψύξη ή φωτισμό, κατανάλωση νερού), καυσίμων, τηλεπικοινωνιών, αναλωσίμων, πρώτων και βοηθητικών υλών, αδειών χρήσης λογισμικού, διάφορα γενικά έξοδα (π.χ. μίσθωση χώρου εργασίας, ασφάλιση, φόροι) κλπ.</w:t>
                  </w:r>
                </w:p>
              </w:tc>
            </w:tr>
          </w:tbl>
          <w:p w14:paraId="0820397D"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13613"/>
            </w:tblGrid>
            <w:tr w:rsidR="005C5745" w:rsidRPr="005C5745" w14:paraId="73DD08E4" w14:textId="77777777" w:rsidTr="005C5745">
              <w:trPr>
                <w:tblCellSpacing w:w="0" w:type="dxa"/>
              </w:trPr>
              <w:tc>
                <w:tcPr>
                  <w:tcW w:w="195" w:type="dxa"/>
                  <w:vAlign w:val="bottom"/>
                  <w:hideMark/>
                </w:tcPr>
                <w:p w14:paraId="574A3737"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55352BC5"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Κόστος συντήρησης</w:t>
                  </w:r>
                  <w:r w:rsidRPr="005C5745">
                    <w:rPr>
                      <w:rFonts w:ascii="Verdana" w:eastAsia="Times New Roman" w:hAnsi="Verdana" w:cs="Times New Roman"/>
                      <w:color w:val="000000"/>
                      <w:sz w:val="18"/>
                      <w:szCs w:val="18"/>
                      <w:lang w:val="el-GR" w:eastAsia="en-GB"/>
                    </w:rPr>
                    <w:t>: Είναι το κόστος της τακτικής συντήρησης ενός παγίου προκειμένου αυτό να λειτουργεί σωστά. Παραδείγματα τέτοιου κόστους είναι: η τακτική συντήρηση ενός οχήματος (π.χ. αλλαγή ελαστικών ή λιπαντικών), η ετήσια αναβάθμιση λογισμικού για Η/Υ, ο καθαρισμός ή ελαιοχρωματισμός εξωτερικών επιφανειών τοίχων κλπ.</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tc>
            </w:tr>
            <w:tr w:rsidR="005C5745" w:rsidRPr="005C5745" w14:paraId="1DB90FC4" w14:textId="77777777">
              <w:trPr>
                <w:tblCellSpacing w:w="0" w:type="dxa"/>
              </w:trPr>
              <w:tc>
                <w:tcPr>
                  <w:tcW w:w="195" w:type="dxa"/>
                  <w:vAlign w:val="bottom"/>
                  <w:hideMark/>
                </w:tcPr>
                <w:p w14:paraId="01AB1B5A"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1C44FD60"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Κόστος απόσβεσης</w:t>
                  </w:r>
                  <w:r w:rsidRPr="005C5745">
                    <w:rPr>
                      <w:rFonts w:ascii="Verdana" w:eastAsia="Times New Roman" w:hAnsi="Verdana" w:cs="Times New Roman"/>
                      <w:color w:val="000000"/>
                      <w:sz w:val="18"/>
                      <w:szCs w:val="18"/>
                      <w:lang w:val="el-GR" w:eastAsia="en-GB"/>
                    </w:rPr>
                    <w:t>: Συνδέεται με τη μείωση της αξίας ενός παγίου καθώς η ηλικία του αυξάνεται. Η μείωση της αξίας είναι αποτέλεσμα φυσικής φθοράς ή απαξίωσης. Για παράδειγμα, η αξία μίας μηχανής μειώνεται (η μηχανή απαξιώνεται οικονομικά) γιατί εξαιτίας της τεχνολογικής προόδου έχει να ανταγωνιστεί νέες και πιο αποτελεσματικές μηχανές, ή γιατί πέφτει</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η ζήτηση για το προϊόν της μηχανής ή γιατί δεν λειτουργεί τόσο αποτελεσματικά όσο άλλοτε. Η μείωση της αξίας σε διάστημα ενός έτους είναι το κόστος διατήρησης του παγίου για το έτος αυτό. Η απόσβεση είναι ένα λογιστικό εργαλείο που χρησιμοποιείται για να κατανείμει τη δαπάνη για ένα κεφαλαιουχικό πάγιο σε ολόκληρη τη διάρκεια ζωής του και </w:t>
                  </w:r>
                  <w:r w:rsidRPr="005C5745">
                    <w:rPr>
                      <w:rFonts w:ascii="Verdana" w:eastAsia="Times New Roman" w:hAnsi="Verdana" w:cs="Times New Roman"/>
                      <w:b/>
                      <w:bCs/>
                      <w:color w:val="000000"/>
                      <w:sz w:val="18"/>
                      <w:szCs w:val="18"/>
                      <w:lang w:val="el-GR" w:eastAsia="en-GB"/>
                    </w:rPr>
                    <w:t xml:space="preserve">δεν θα πρέπει να περιλαμβάνεται στην εκτίμηση </w:t>
                  </w:r>
                  <w:r w:rsidRPr="005C5745">
                    <w:rPr>
                      <w:rFonts w:ascii="Verdana" w:eastAsia="Times New Roman" w:hAnsi="Verdana" w:cs="Times New Roman"/>
                      <w:color w:val="000000"/>
                      <w:sz w:val="18"/>
                      <w:szCs w:val="18"/>
                      <w:lang w:val="el-GR" w:eastAsia="en-GB"/>
                    </w:rPr>
                    <w:t xml:space="preserve">για την αγορά ή μη του περιουσιακού στοιχείου. </w:t>
                  </w:r>
                </w:p>
              </w:tc>
            </w:tr>
          </w:tbl>
          <w:p w14:paraId="5F9E8C0C"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13613"/>
            </w:tblGrid>
            <w:tr w:rsidR="005C5745" w:rsidRPr="005C5745" w14:paraId="7B76693B" w14:textId="77777777" w:rsidTr="005C5745">
              <w:trPr>
                <w:tblCellSpacing w:w="0" w:type="dxa"/>
              </w:trPr>
              <w:tc>
                <w:tcPr>
                  <w:tcW w:w="195" w:type="dxa"/>
                  <w:vAlign w:val="bottom"/>
                  <w:hideMark/>
                </w:tcPr>
                <w:p w14:paraId="606F8AE3"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32302133"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Εξωτερικό κόστος</w:t>
                  </w:r>
                  <w:r w:rsidRPr="005C5745">
                    <w:rPr>
                      <w:rFonts w:ascii="Verdana" w:eastAsia="Times New Roman" w:hAnsi="Verdana" w:cs="Times New Roman"/>
                      <w:color w:val="000000"/>
                      <w:sz w:val="18"/>
                      <w:szCs w:val="18"/>
                      <w:lang w:val="el-GR" w:eastAsia="en-GB"/>
                    </w:rPr>
                    <w:t xml:space="preserve">: Είναι κόστος που γεννάται από αρνητικά παράπλευρα αποτελέσματα μίας επένδυσης. Υπάρχουν διαφορετικές κατηγορίες εξωτερικού κόστους, όπως το </w:t>
                  </w:r>
                  <w:r w:rsidRPr="005C5745">
                    <w:rPr>
                      <w:rFonts w:ascii="Verdana" w:eastAsia="Times New Roman" w:hAnsi="Verdana" w:cs="Times New Roman"/>
                      <w:b/>
                      <w:bCs/>
                      <w:color w:val="000000"/>
                      <w:sz w:val="18"/>
                      <w:szCs w:val="18"/>
                      <w:lang w:val="el-GR" w:eastAsia="en-GB"/>
                    </w:rPr>
                    <w:t>περιβαλλοντικό κόστος</w:t>
                  </w:r>
                  <w:r w:rsidRPr="005C5745">
                    <w:rPr>
                      <w:rFonts w:ascii="Verdana" w:eastAsia="Times New Roman" w:hAnsi="Verdana" w:cs="Times New Roman"/>
                      <w:color w:val="000000"/>
                      <w:sz w:val="18"/>
                      <w:szCs w:val="18"/>
                      <w:lang w:val="el-GR" w:eastAsia="en-GB"/>
                    </w:rPr>
                    <w:t xml:space="preserve">, το </w:t>
                  </w:r>
                  <w:r w:rsidRPr="005C5745">
                    <w:rPr>
                      <w:rFonts w:ascii="Verdana" w:eastAsia="Times New Roman" w:hAnsi="Verdana" w:cs="Times New Roman"/>
                      <w:b/>
                      <w:bCs/>
                      <w:color w:val="000000"/>
                      <w:sz w:val="18"/>
                      <w:szCs w:val="18"/>
                      <w:lang w:val="el-GR" w:eastAsia="en-GB"/>
                    </w:rPr>
                    <w:t>κοινωνικό κόστος</w:t>
                  </w:r>
                  <w:r w:rsidRPr="005C5745">
                    <w:rPr>
                      <w:rFonts w:ascii="Verdana" w:eastAsia="Times New Roman" w:hAnsi="Verdana" w:cs="Times New Roman"/>
                      <w:color w:val="000000"/>
                      <w:sz w:val="18"/>
                      <w:szCs w:val="18"/>
                      <w:lang w:val="el-GR" w:eastAsia="en-GB"/>
                    </w:rPr>
                    <w:t xml:space="preserve"> και το </w:t>
                  </w:r>
                  <w:r w:rsidRPr="005C5745">
                    <w:rPr>
                      <w:rFonts w:ascii="Verdana" w:eastAsia="Times New Roman" w:hAnsi="Verdana" w:cs="Times New Roman"/>
                      <w:b/>
                      <w:bCs/>
                      <w:color w:val="000000"/>
                      <w:sz w:val="18"/>
                      <w:szCs w:val="18"/>
                      <w:lang w:val="el-GR" w:eastAsia="en-GB"/>
                    </w:rPr>
                    <w:t>κόστος για την υγεία</w:t>
                  </w:r>
                  <w:r w:rsidRPr="005C5745">
                    <w:rPr>
                      <w:rFonts w:ascii="Verdana" w:eastAsia="Times New Roman" w:hAnsi="Verdana" w:cs="Times New Roman"/>
                      <w:color w:val="000000"/>
                      <w:sz w:val="18"/>
                      <w:szCs w:val="18"/>
                      <w:lang w:val="el-GR" w:eastAsia="en-GB"/>
                    </w:rPr>
                    <w:t xml:space="preserve">. Για παράδειγμα, η κατασκευή ενός </w:t>
                  </w:r>
                  <w:r w:rsidRPr="005C5745">
                    <w:rPr>
                      <w:rFonts w:ascii="Verdana" w:eastAsia="Times New Roman" w:hAnsi="Verdana" w:cs="Times New Roman"/>
                      <w:color w:val="000000"/>
                      <w:sz w:val="18"/>
                      <w:szCs w:val="18"/>
                      <w:lang w:val="el-GR" w:eastAsia="en-GB"/>
                    </w:rPr>
                    <w:lastRenderedPageBreak/>
                    <w:t xml:space="preserve">λιμανιού μπορεί να έχει αρνητικές επιπτώσεις στο θαλάσσιο περιβάλλον της περιοχής (περιβαλλοντικό κόστος), ή η αυτοματοποίηση μίας διαδικασίας μέσω της επένδυσης σε νέα τεχνολογία μπορεί να προκαλέσει την υποκατάσταση ορισμένων εργαζομένων από μηχανές ή από Η/Υ (κοινωνικό κόστος), ή η διαφορετική χρήση γης μπορεί να οδηγήσει σε απώλεια αγροτικού προϊόντος (κοινωνικό κόστος), ή η κατασκευή μεγάλου εργοστασίου που προκαλεί ρύπανση, </w:t>
                  </w:r>
                  <w:r w:rsidRPr="005C5745">
                    <w:rPr>
                      <w:rFonts w:ascii="Verdana" w:eastAsia="Times New Roman" w:hAnsi="Verdana" w:cs="Times New Roman"/>
                      <w:i/>
                      <w:iCs/>
                      <w:color w:val="000000"/>
                      <w:sz w:val="18"/>
                      <w:szCs w:val="18"/>
                      <w:lang w:val="el-GR" w:eastAsia="en-GB"/>
                    </w:rPr>
                    <w:t>π.χ. διυλιστηρίου πετρελαιοειδών</w:t>
                  </w:r>
                  <w:r w:rsidRPr="005C5745">
                    <w:rPr>
                      <w:rFonts w:ascii="Verdana" w:eastAsia="Times New Roman" w:hAnsi="Verdana" w:cs="Times New Roman"/>
                      <w:color w:val="000000"/>
                      <w:sz w:val="18"/>
                      <w:szCs w:val="18"/>
                      <w:lang w:val="el-GR" w:eastAsia="en-GB"/>
                    </w:rPr>
                    <w:t xml:space="preserve">, μπορεί να προκαλέσει αυξημένες δαπάνες για την υγεία των κατοίκων και των εργαζομένων (κόστος για την υγεία). Ως γενικός κανόνας, </w:t>
                  </w:r>
                  <w:r w:rsidRPr="005C5745">
                    <w:rPr>
                      <w:rFonts w:ascii="Verdana" w:eastAsia="Times New Roman" w:hAnsi="Verdana" w:cs="Times New Roman"/>
                      <w:b/>
                      <w:bCs/>
                      <w:color w:val="000000"/>
                      <w:sz w:val="18"/>
                      <w:szCs w:val="18"/>
                      <w:lang w:val="el-GR" w:eastAsia="en-GB"/>
                    </w:rPr>
                    <w:t>το εξωτερικό κόστος θα πρέπει να περιλαμβάνεται στην ανάλυση μόνο αν είναι δυνατή η ποσοτικοποίησή του και αν το μέγεθός του είναι σημαντικό συγκριτικά με το συνολικό κόστος της επένδυσης</w:t>
                  </w:r>
                  <w:r w:rsidRPr="005C5745">
                    <w:rPr>
                      <w:rFonts w:ascii="Verdana" w:eastAsia="Times New Roman" w:hAnsi="Verdana" w:cs="Times New Roman"/>
                      <w:color w:val="000000"/>
                      <w:sz w:val="18"/>
                      <w:szCs w:val="18"/>
                      <w:lang w:val="el-GR" w:eastAsia="en-GB"/>
                    </w:rPr>
                    <w:t xml:space="preserve">. Ωστόσο, ανεξάρτητα από το αν θα συμπεριληφθεί ή όχι στην ανάλυση, θα πρέπει τουλάχιστον να προσδιορίζεται και να παρουσιάζεται στους υπευθύνους για τη λήψη αποφάσεων. </w:t>
                  </w:r>
                </w:p>
              </w:tc>
            </w:tr>
            <w:tr w:rsidR="005C5745" w:rsidRPr="005C5745" w14:paraId="4835435E" w14:textId="77777777">
              <w:trPr>
                <w:tblCellSpacing w:w="0" w:type="dxa"/>
              </w:trPr>
              <w:tc>
                <w:tcPr>
                  <w:tcW w:w="195" w:type="dxa"/>
                  <w:vAlign w:val="bottom"/>
                  <w:hideMark/>
                </w:tcPr>
                <w:p w14:paraId="08AFF61F"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lastRenderedPageBreak/>
                    <w:t>•</w:t>
                  </w:r>
                </w:p>
              </w:tc>
              <w:tc>
                <w:tcPr>
                  <w:tcW w:w="0" w:type="auto"/>
                  <w:vAlign w:val="bottom"/>
                  <w:hideMark/>
                </w:tcPr>
                <w:p w14:paraId="6181B623"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Κόστος για την κάλυψη εκτάκτων αναγκών</w:t>
                  </w:r>
                  <w:r w:rsidRPr="005C5745">
                    <w:rPr>
                      <w:rFonts w:ascii="Verdana" w:eastAsia="Times New Roman" w:hAnsi="Verdana" w:cs="Times New Roman"/>
                      <w:color w:val="000000"/>
                      <w:sz w:val="18"/>
                      <w:szCs w:val="18"/>
                      <w:lang w:val="el-GR" w:eastAsia="en-GB"/>
                    </w:rPr>
                    <w:t>: Είναι δαπάνες για την αντιμετώπιση εκτάκτων αναγκών ή απρόβλεπτων γεγονότων, π.χ. καθυστερήσεων στην κατασκευή ή φυσικών καταστροφών, ώστε να εξασφαλίζεται η επιτυχία του Έργου.</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tc>
            </w:tr>
          </w:tbl>
          <w:p w14:paraId="3E664125"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13613"/>
            </w:tblGrid>
            <w:tr w:rsidR="005C5745" w:rsidRPr="005C5745" w14:paraId="52E8D6CD" w14:textId="77777777" w:rsidTr="005C5745">
              <w:trPr>
                <w:tblCellSpacing w:w="0" w:type="dxa"/>
              </w:trPr>
              <w:tc>
                <w:tcPr>
                  <w:tcW w:w="195" w:type="dxa"/>
                  <w:vAlign w:val="bottom"/>
                  <w:hideMark/>
                </w:tcPr>
                <w:p w14:paraId="73DDF3AB"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24D9CF0C"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Κόστος Χρηματοοικονομικών Συναλλαγών</w:t>
                  </w:r>
                  <w:r w:rsidRPr="005C5745">
                    <w:rPr>
                      <w:rFonts w:ascii="Verdana" w:eastAsia="Times New Roman" w:hAnsi="Verdana" w:cs="Times New Roman"/>
                      <w:color w:val="000000"/>
                      <w:sz w:val="18"/>
                      <w:szCs w:val="18"/>
                      <w:lang w:val="el-GR" w:eastAsia="en-GB"/>
                    </w:rPr>
                    <w:t xml:space="preserve">: Πρόκειται για μεγέθη κόστους όπως έξοδα κεφαλαίου (κόστος κεφαλαίου) και δαπάνες τόκων. </w:t>
                  </w:r>
                  <w:r w:rsidRPr="005C5745">
                    <w:rPr>
                      <w:rFonts w:ascii="Verdana" w:eastAsia="Times New Roman" w:hAnsi="Verdana" w:cs="Times New Roman"/>
                      <w:b/>
                      <w:bCs/>
                      <w:color w:val="000000"/>
                      <w:sz w:val="18"/>
                      <w:szCs w:val="18"/>
                      <w:lang w:val="el-GR" w:eastAsia="en-GB"/>
                    </w:rPr>
                    <w:t xml:space="preserve">Το κόστος χρηματοοικονομικών συναλλαγών δεν θα πρέπει να περιλαμβάνεται στην «οικονομική ανάλυση κόστους-οφέλους» </w:t>
                  </w:r>
                  <w:r w:rsidRPr="005C5745">
                    <w:rPr>
                      <w:rFonts w:ascii="Verdana" w:eastAsia="Times New Roman" w:hAnsi="Verdana" w:cs="Times New Roman"/>
                      <w:color w:val="000000"/>
                      <w:sz w:val="18"/>
                      <w:szCs w:val="18"/>
                      <w:lang w:val="el-GR" w:eastAsia="en-GB"/>
                    </w:rPr>
                    <w:t xml:space="preserve">καθώς αυτός ο τύπος ανάλυσης δεν ασχολείται με τη μεταφορά πόρων από ένα τμήμα της οικονομίας σε άλλο, αλλά με την αύξηση/μείωση των πόρων στο σύνολο της οικονομίας ως αποτέλεσμα της επένδυσης. </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tc>
            </w:tr>
          </w:tbl>
          <w:p w14:paraId="49854F56"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eastAsia="en-GB"/>
              </w:rPr>
              <w:t> </w:t>
            </w:r>
          </w:p>
          <w:p w14:paraId="1A41806B"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eastAsia="en-GB"/>
              </w:rPr>
            </w:pPr>
            <w:r w:rsidRPr="005C5745">
              <w:rPr>
                <w:rFonts w:ascii="Verdana" w:eastAsia="Times New Roman" w:hAnsi="Verdana" w:cs="Times New Roman"/>
                <w:b/>
                <w:bCs/>
                <w:i/>
                <w:iCs/>
                <w:color w:val="000000"/>
                <w:sz w:val="18"/>
                <w:szCs w:val="18"/>
                <w:u w:val="single"/>
                <w:lang w:eastAsia="en-GB"/>
              </w:rPr>
              <w:t>Βα</w:t>
            </w:r>
            <w:proofErr w:type="spellStart"/>
            <w:r w:rsidRPr="005C5745">
              <w:rPr>
                <w:rFonts w:ascii="Verdana" w:eastAsia="Times New Roman" w:hAnsi="Verdana" w:cs="Times New Roman"/>
                <w:b/>
                <w:bCs/>
                <w:i/>
                <w:iCs/>
                <w:color w:val="000000"/>
                <w:sz w:val="18"/>
                <w:szCs w:val="18"/>
                <w:u w:val="single"/>
                <w:lang w:eastAsia="en-GB"/>
              </w:rPr>
              <w:t>σικές</w:t>
            </w:r>
            <w:proofErr w:type="spellEnd"/>
            <w:r w:rsidRPr="005C5745">
              <w:rPr>
                <w:rFonts w:ascii="Verdana" w:eastAsia="Times New Roman" w:hAnsi="Verdana" w:cs="Times New Roman"/>
                <w:b/>
                <w:bCs/>
                <w:i/>
                <w:iCs/>
                <w:color w:val="000000"/>
                <w:sz w:val="18"/>
                <w:szCs w:val="18"/>
                <w:u w:val="single"/>
                <w:lang w:eastAsia="en-GB"/>
              </w:rPr>
              <w:t xml:space="preserve"> Κα</w:t>
            </w:r>
            <w:proofErr w:type="spellStart"/>
            <w:r w:rsidRPr="005C5745">
              <w:rPr>
                <w:rFonts w:ascii="Verdana" w:eastAsia="Times New Roman" w:hAnsi="Verdana" w:cs="Times New Roman"/>
                <w:b/>
                <w:bCs/>
                <w:i/>
                <w:iCs/>
                <w:color w:val="000000"/>
                <w:sz w:val="18"/>
                <w:szCs w:val="18"/>
                <w:u w:val="single"/>
                <w:lang w:eastAsia="en-GB"/>
              </w:rPr>
              <w:t>τηγορίες</w:t>
            </w:r>
            <w:proofErr w:type="spellEnd"/>
            <w:r w:rsidRPr="005C5745">
              <w:rPr>
                <w:rFonts w:ascii="Verdana" w:eastAsia="Times New Roman" w:hAnsi="Verdana" w:cs="Times New Roman"/>
                <w:b/>
                <w:bCs/>
                <w:i/>
                <w:iCs/>
                <w:color w:val="000000"/>
                <w:sz w:val="18"/>
                <w:szCs w:val="18"/>
                <w:u w:val="single"/>
                <w:lang w:eastAsia="en-GB"/>
              </w:rPr>
              <w:t xml:space="preserve"> </w:t>
            </w:r>
            <w:proofErr w:type="spellStart"/>
            <w:r w:rsidRPr="005C5745">
              <w:rPr>
                <w:rFonts w:ascii="Verdana" w:eastAsia="Times New Roman" w:hAnsi="Verdana" w:cs="Times New Roman"/>
                <w:b/>
                <w:bCs/>
                <w:i/>
                <w:iCs/>
                <w:color w:val="000000"/>
                <w:sz w:val="18"/>
                <w:szCs w:val="18"/>
                <w:u w:val="single"/>
                <w:lang w:eastAsia="en-GB"/>
              </w:rPr>
              <w:t>Σχετικών</w:t>
            </w:r>
            <w:proofErr w:type="spellEnd"/>
            <w:r w:rsidRPr="005C5745">
              <w:rPr>
                <w:rFonts w:ascii="Verdana" w:eastAsia="Times New Roman" w:hAnsi="Verdana" w:cs="Times New Roman"/>
                <w:b/>
                <w:bCs/>
                <w:i/>
                <w:iCs/>
                <w:color w:val="000000"/>
                <w:sz w:val="18"/>
                <w:szCs w:val="18"/>
                <w:u w:val="single"/>
                <w:lang w:eastAsia="en-GB"/>
              </w:rPr>
              <w:t xml:space="preserve"> </w:t>
            </w:r>
            <w:proofErr w:type="spellStart"/>
            <w:r w:rsidRPr="005C5745">
              <w:rPr>
                <w:rFonts w:ascii="Verdana" w:eastAsia="Times New Roman" w:hAnsi="Verdana" w:cs="Times New Roman"/>
                <w:b/>
                <w:bCs/>
                <w:i/>
                <w:iCs/>
                <w:color w:val="000000"/>
                <w:sz w:val="18"/>
                <w:szCs w:val="18"/>
                <w:u w:val="single"/>
                <w:lang w:eastAsia="en-GB"/>
              </w:rPr>
              <w:t>Οφελών</w:t>
            </w:r>
            <w:proofErr w:type="spellEnd"/>
          </w:p>
          <w:tbl>
            <w:tblPr>
              <w:tblW w:w="0" w:type="auto"/>
              <w:tblCellSpacing w:w="0" w:type="dxa"/>
              <w:tblCellMar>
                <w:left w:w="0" w:type="dxa"/>
                <w:right w:w="0" w:type="dxa"/>
              </w:tblCellMar>
              <w:tblLook w:val="04A0" w:firstRow="1" w:lastRow="0" w:firstColumn="1" w:lastColumn="0" w:noHBand="0" w:noVBand="1"/>
            </w:tblPr>
            <w:tblGrid>
              <w:gridCol w:w="195"/>
              <w:gridCol w:w="13613"/>
            </w:tblGrid>
            <w:tr w:rsidR="005C5745" w:rsidRPr="005C5745" w14:paraId="25502037" w14:textId="77777777" w:rsidTr="005C5745">
              <w:trPr>
                <w:tblCellSpacing w:w="0" w:type="dxa"/>
              </w:trPr>
              <w:tc>
                <w:tcPr>
                  <w:tcW w:w="195" w:type="dxa"/>
                  <w:vAlign w:val="bottom"/>
                  <w:hideMark/>
                </w:tcPr>
                <w:p w14:paraId="5DE84B1B"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33963A87"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Χρηματοοικονομικά οφέλη</w:t>
                  </w:r>
                  <w:r w:rsidRPr="005C5745">
                    <w:rPr>
                      <w:rFonts w:ascii="Verdana" w:eastAsia="Times New Roman" w:hAnsi="Verdana" w:cs="Times New Roman"/>
                      <w:color w:val="000000"/>
                      <w:sz w:val="18"/>
                      <w:szCs w:val="18"/>
                      <w:lang w:val="el-GR" w:eastAsia="en-GB"/>
                    </w:rPr>
                    <w:t xml:space="preserve">: Είναι χρηματικά και ποσοτικά οφέλη που προκύπτουν ως αποτέλεσμα της υπό εξέταση επένδυσης. Για παράδειγμα, η μείωση του λειτουργικού κόστους ή η αύξηση των εσόδων. </w:t>
                  </w:r>
                </w:p>
              </w:tc>
            </w:tr>
            <w:tr w:rsidR="005C5745" w:rsidRPr="005C5745" w14:paraId="2DDCABF8" w14:textId="77777777">
              <w:trPr>
                <w:tblCellSpacing w:w="0" w:type="dxa"/>
              </w:trPr>
              <w:tc>
                <w:tcPr>
                  <w:tcW w:w="195" w:type="dxa"/>
                  <w:vAlign w:val="bottom"/>
                  <w:hideMark/>
                </w:tcPr>
                <w:p w14:paraId="0DF0A949"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649B1E0C"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Μη χρηματικά οφέλη</w:t>
                  </w:r>
                  <w:r w:rsidRPr="005C5745">
                    <w:rPr>
                      <w:rFonts w:ascii="Verdana" w:eastAsia="Times New Roman" w:hAnsi="Verdana" w:cs="Times New Roman"/>
                      <w:color w:val="000000"/>
                      <w:sz w:val="18"/>
                      <w:szCs w:val="18"/>
                      <w:lang w:val="el-GR" w:eastAsia="en-GB"/>
                    </w:rPr>
                    <w:t xml:space="preserve">: Υπάρχουν δύο υποκατηγορίες μη χρηματικών οφελών: τα </w:t>
                  </w:r>
                  <w:r w:rsidRPr="005C5745">
                    <w:rPr>
                      <w:rFonts w:ascii="Verdana" w:eastAsia="Times New Roman" w:hAnsi="Verdana" w:cs="Times New Roman"/>
                      <w:b/>
                      <w:bCs/>
                      <w:color w:val="000000"/>
                      <w:sz w:val="18"/>
                      <w:szCs w:val="18"/>
                      <w:lang w:val="el-GR" w:eastAsia="en-GB"/>
                    </w:rPr>
                    <w:t>ποσοτικά οφέλη</w:t>
                  </w:r>
                  <w:r w:rsidRPr="005C5745">
                    <w:rPr>
                      <w:rFonts w:ascii="Verdana" w:eastAsia="Times New Roman" w:hAnsi="Verdana" w:cs="Times New Roman"/>
                      <w:color w:val="000000"/>
                      <w:sz w:val="18"/>
                      <w:szCs w:val="18"/>
                      <w:lang w:val="el-GR" w:eastAsia="en-GB"/>
                    </w:rPr>
                    <w:t xml:space="preserve">, όπως π.χ. η μείωση του αριθμού τροχαίων ατυχημάτων ή η αύξηση στον αριθμό </w:t>
                  </w:r>
                  <w:proofErr w:type="spellStart"/>
                  <w:r w:rsidRPr="005C5745">
                    <w:rPr>
                      <w:rFonts w:ascii="Verdana" w:eastAsia="Times New Roman" w:hAnsi="Verdana" w:cs="Times New Roman"/>
                      <w:color w:val="000000"/>
                      <w:sz w:val="18"/>
                      <w:szCs w:val="18"/>
                      <w:lang w:val="el-GR" w:eastAsia="en-GB"/>
                    </w:rPr>
                    <w:t>ευρυζωνικών</w:t>
                  </w:r>
                  <w:proofErr w:type="spellEnd"/>
                  <w:r w:rsidRPr="005C5745">
                    <w:rPr>
                      <w:rFonts w:ascii="Verdana" w:eastAsia="Times New Roman" w:hAnsi="Verdana" w:cs="Times New Roman"/>
                      <w:color w:val="000000"/>
                      <w:sz w:val="18"/>
                      <w:szCs w:val="18"/>
                      <w:lang w:val="el-GR" w:eastAsia="en-GB"/>
                    </w:rPr>
                    <w:t xml:space="preserve"> συνδέσεων ή η μείωση του χρόνου μετάβασης από ένα σημείο σε άλλο, και τα </w:t>
                  </w:r>
                  <w:r w:rsidRPr="005C5745">
                    <w:rPr>
                      <w:rFonts w:ascii="Verdana" w:eastAsia="Times New Roman" w:hAnsi="Verdana" w:cs="Times New Roman"/>
                      <w:b/>
                      <w:bCs/>
                      <w:color w:val="000000"/>
                      <w:sz w:val="18"/>
                      <w:szCs w:val="18"/>
                      <w:lang w:val="el-GR" w:eastAsia="en-GB"/>
                    </w:rPr>
                    <w:t>ποιοτικά οφέλη</w:t>
                  </w:r>
                  <w:r w:rsidRPr="005C5745">
                    <w:rPr>
                      <w:rFonts w:ascii="Verdana" w:eastAsia="Times New Roman" w:hAnsi="Verdana" w:cs="Times New Roman"/>
                      <w:color w:val="000000"/>
                      <w:sz w:val="18"/>
                      <w:szCs w:val="18"/>
                      <w:lang w:val="el-GR" w:eastAsia="en-GB"/>
                    </w:rPr>
                    <w:t>, όπως π.χ. η βελτίωση των προσόντων του προσωπικού ή η βελτίωση των υπηρεσιών υγειονομικής περίθαλψης.</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tc>
            </w:tr>
          </w:tbl>
          <w:p w14:paraId="05BE1B5E"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13613"/>
            </w:tblGrid>
            <w:tr w:rsidR="005C5745" w:rsidRPr="005C5745" w14:paraId="300FFDCA" w14:textId="77777777" w:rsidTr="005C5745">
              <w:trPr>
                <w:tblCellSpacing w:w="0" w:type="dxa"/>
              </w:trPr>
              <w:tc>
                <w:tcPr>
                  <w:tcW w:w="195" w:type="dxa"/>
                  <w:vAlign w:val="bottom"/>
                  <w:hideMark/>
                </w:tcPr>
                <w:p w14:paraId="692CA98E"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7171A691"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Εξωτερικά οφέλη</w:t>
                  </w:r>
                  <w:r w:rsidRPr="005C5745">
                    <w:rPr>
                      <w:rFonts w:ascii="Verdana" w:eastAsia="Times New Roman" w:hAnsi="Verdana" w:cs="Times New Roman"/>
                      <w:color w:val="000000"/>
                      <w:sz w:val="18"/>
                      <w:szCs w:val="18"/>
                      <w:lang w:val="el-GR" w:eastAsia="en-GB"/>
                    </w:rPr>
                    <w:t xml:space="preserve">: Είναι οφέλη που προέρχονται από θετικά παράπλευρα αποτελέσματα μίας επένδυσης. Υπάρχουν διάφορες κατηγορίες εξωτερικών οφελών, όπως τα </w:t>
                  </w:r>
                  <w:r w:rsidRPr="005C5745">
                    <w:rPr>
                      <w:rFonts w:ascii="Verdana" w:eastAsia="Times New Roman" w:hAnsi="Verdana" w:cs="Times New Roman"/>
                      <w:b/>
                      <w:bCs/>
                      <w:color w:val="000000"/>
                      <w:sz w:val="18"/>
                      <w:szCs w:val="18"/>
                      <w:lang w:val="el-GR" w:eastAsia="en-GB"/>
                    </w:rPr>
                    <w:t>περιβαλλοντικά οφέλη</w:t>
                  </w:r>
                  <w:r w:rsidRPr="005C5745">
                    <w:rPr>
                      <w:rFonts w:ascii="Verdana" w:eastAsia="Times New Roman" w:hAnsi="Verdana" w:cs="Times New Roman"/>
                      <w:color w:val="000000"/>
                      <w:sz w:val="18"/>
                      <w:szCs w:val="18"/>
                      <w:lang w:val="el-GR" w:eastAsia="en-GB"/>
                    </w:rPr>
                    <w:t xml:space="preserve">, τα </w:t>
                  </w:r>
                  <w:r w:rsidRPr="005C5745">
                    <w:rPr>
                      <w:rFonts w:ascii="Verdana" w:eastAsia="Times New Roman" w:hAnsi="Verdana" w:cs="Times New Roman"/>
                      <w:b/>
                      <w:bCs/>
                      <w:color w:val="000000"/>
                      <w:sz w:val="18"/>
                      <w:szCs w:val="18"/>
                      <w:lang w:val="el-GR" w:eastAsia="en-GB"/>
                    </w:rPr>
                    <w:t>κοινωνικά οφέλη</w:t>
                  </w:r>
                  <w:r w:rsidRPr="005C5745">
                    <w:rPr>
                      <w:rFonts w:ascii="Verdana" w:eastAsia="Times New Roman" w:hAnsi="Verdana" w:cs="Times New Roman"/>
                      <w:color w:val="000000"/>
                      <w:sz w:val="18"/>
                      <w:szCs w:val="18"/>
                      <w:lang w:val="el-GR" w:eastAsia="en-GB"/>
                    </w:rPr>
                    <w:t xml:space="preserve"> και τα </w:t>
                  </w:r>
                  <w:r w:rsidRPr="005C5745">
                    <w:rPr>
                      <w:rFonts w:ascii="Verdana" w:eastAsia="Times New Roman" w:hAnsi="Verdana" w:cs="Times New Roman"/>
                      <w:b/>
                      <w:bCs/>
                      <w:color w:val="000000"/>
                      <w:sz w:val="18"/>
                      <w:szCs w:val="18"/>
                      <w:lang w:val="el-GR" w:eastAsia="en-GB"/>
                    </w:rPr>
                    <w:t>οφέλη για την υγεία</w:t>
                  </w:r>
                  <w:r w:rsidRPr="005C5745">
                    <w:rPr>
                      <w:rFonts w:ascii="Verdana" w:eastAsia="Times New Roman" w:hAnsi="Verdana" w:cs="Times New Roman"/>
                      <w:color w:val="000000"/>
                      <w:sz w:val="18"/>
                      <w:szCs w:val="18"/>
                      <w:lang w:val="el-GR" w:eastAsia="en-GB"/>
                    </w:rPr>
                    <w:t xml:space="preserve">. Για παράδειγμα, η κατασκευή εγκατάστασης επεξεργασίας υγρών αποβλήτων θα βελτιώσει την ποιότητα των υδάτων σε ποτάμι της περιοχής (περιβαλλοντικό όφελος), ή η κατασκευή ενός νέου νοσοκομείου θα αυξήσει το ποσοστό απασχόλησης γιατρών και νοσηλευτών και θα βελτιώσει τις υπηρεσίες υγειονομικής περίθαλψης που παρέχονται στους κατοίκους (κοινωνικό όφελος), ή η κατασκευή χώρου υγειονομικής ταφής απορριμμάτων σε έναν Δήμο θα βελτιώσει την κατάσταση της υγείας των δημοτών (όφελος για την υγεία). Ως γενικός κανόνας, </w:t>
                  </w:r>
                  <w:r w:rsidRPr="005C5745">
                    <w:rPr>
                      <w:rFonts w:ascii="Verdana" w:eastAsia="Times New Roman" w:hAnsi="Verdana" w:cs="Times New Roman"/>
                      <w:b/>
                      <w:bCs/>
                      <w:color w:val="000000"/>
                      <w:sz w:val="18"/>
                      <w:szCs w:val="18"/>
                      <w:lang w:val="el-GR" w:eastAsia="en-GB"/>
                    </w:rPr>
                    <w:t>τα εξωτερικά οφέλη θα πρέπει να περιλαμβάνονται στην ανάλυση μόνο αν είναι δυνατή η ποσοτικοποίησή τους και αν το μέγεθός τους είναι σημαντικό συγκριτικά με τα συνολικά οφέλη της επένδυσης</w:t>
                  </w:r>
                  <w:r w:rsidRPr="005C5745">
                    <w:rPr>
                      <w:rFonts w:ascii="Verdana" w:eastAsia="Times New Roman" w:hAnsi="Verdana" w:cs="Times New Roman"/>
                      <w:color w:val="000000"/>
                      <w:sz w:val="18"/>
                      <w:szCs w:val="18"/>
                      <w:lang w:val="el-GR" w:eastAsia="en-GB"/>
                    </w:rPr>
                    <w:t xml:space="preserve">. Ωστόσο, ανεξάρτητα από το αν θα συμπεριληφθούν ή όχι στην ανάλυση, θα πρέπει τουλάχιστον να προσδιορίζονται και να παρουσιάζονται στους υπευθύνους για τη λήψη αποφάσεων. </w:t>
                  </w:r>
                </w:p>
              </w:tc>
            </w:tr>
          </w:tbl>
          <w:p w14:paraId="7088049F"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eastAsia="en-GB"/>
              </w:rPr>
              <w:t> </w:t>
            </w:r>
          </w:p>
          <w:tbl>
            <w:tblPr>
              <w:tblW w:w="0" w:type="auto"/>
              <w:shd w:val="clear" w:color="auto" w:fill="CCFFFF"/>
              <w:tblCellMar>
                <w:left w:w="0" w:type="dxa"/>
                <w:right w:w="0" w:type="dxa"/>
              </w:tblCellMar>
              <w:tblLook w:val="04A0" w:firstRow="1" w:lastRow="0" w:firstColumn="1" w:lastColumn="0" w:noHBand="0" w:noVBand="1"/>
            </w:tblPr>
            <w:tblGrid>
              <w:gridCol w:w="13792"/>
            </w:tblGrid>
            <w:tr w:rsidR="005C5745" w:rsidRPr="005C5745" w14:paraId="44C154CC" w14:textId="77777777" w:rsidTr="005C5745">
              <w:tc>
                <w:tcPr>
                  <w:tcW w:w="0" w:type="auto"/>
                  <w:tcBorders>
                    <w:top w:val="single" w:sz="6" w:space="0" w:color="000000"/>
                    <w:left w:val="single" w:sz="6" w:space="0" w:color="000000"/>
                    <w:bottom w:val="single" w:sz="6" w:space="0" w:color="000000"/>
                    <w:right w:val="single" w:sz="6" w:space="0" w:color="000000"/>
                  </w:tcBorders>
                  <w:shd w:val="clear" w:color="auto" w:fill="CCFFFF"/>
                  <w:hideMark/>
                </w:tcPr>
                <w:p w14:paraId="2D264A97" w14:textId="77777777" w:rsidR="005C5745" w:rsidRPr="005C5745" w:rsidRDefault="005C5745" w:rsidP="005C5745">
                  <w:pPr>
                    <w:spacing w:before="45" w:after="45" w:line="240" w:lineRule="auto"/>
                    <w:ind w:left="180"/>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Η </w:t>
                  </w:r>
                  <w:r w:rsidRPr="005C5745">
                    <w:rPr>
                      <w:rFonts w:ascii="Verdana" w:eastAsia="Times New Roman" w:hAnsi="Verdana" w:cs="Times New Roman"/>
                      <w:b/>
                      <w:bCs/>
                      <w:color w:val="000000"/>
                      <w:sz w:val="18"/>
                      <w:szCs w:val="18"/>
                      <w:lang w:val="el-GR" w:eastAsia="en-GB"/>
                    </w:rPr>
                    <w:t>βασική υπόθεση εργασίας</w:t>
                  </w:r>
                  <w:r w:rsidRPr="005C5745">
                    <w:rPr>
                      <w:rFonts w:ascii="Verdana" w:eastAsia="Times New Roman" w:hAnsi="Verdana" w:cs="Times New Roman"/>
                      <w:color w:val="000000"/>
                      <w:sz w:val="18"/>
                      <w:szCs w:val="18"/>
                      <w:lang w:val="el-GR" w:eastAsia="en-GB"/>
                    </w:rPr>
                    <w:t xml:space="preserve"> στην εξεταζόμενη περίπτωση είναι ότι το κόστος ευκαιρίας, τα έξοδα εκτάκτων αναγκών, τα εξωτερικά κόστη και τα άυλα κόστη και οφέλη δεν θα περιληφθούν στην ανάλυση, καθώς από τη μία πλευρά είναι πολύ δύσκολη η ποσοτικοποίησή τους και από την άλλη η συμπερίληψή τους υπερβαίνει το αντικείμενο αυτής της απλουστευμένης προσέγγισης στην πραγματοποίηση ανάλυσης κόστους-οφέλους.</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p w14:paraId="31083C07" w14:textId="77777777" w:rsidR="005C5745" w:rsidRPr="005C5745" w:rsidRDefault="005C5745" w:rsidP="005C5745">
                  <w:pPr>
                    <w:spacing w:before="45" w:after="45" w:line="240" w:lineRule="auto"/>
                    <w:ind w:left="180"/>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Τα μεγέθη κόστους και τα οφέλη που συνδέονται με την απόφαση του Δήμου για μη αναβάθμιση και επέκταση του χώρου στάθμευσης </w:t>
                  </w:r>
                  <w:r w:rsidRPr="005C5745">
                    <w:rPr>
                      <w:rFonts w:ascii="Verdana" w:eastAsia="Times New Roman" w:hAnsi="Verdana" w:cs="Times New Roman"/>
                      <w:b/>
                      <w:bCs/>
                      <w:color w:val="000000"/>
                      <w:sz w:val="18"/>
                      <w:szCs w:val="18"/>
                      <w:lang w:val="el-GR" w:eastAsia="en-GB"/>
                    </w:rPr>
                    <w:t>(Επιλογή 1)</w:t>
                  </w:r>
                  <w:r w:rsidRPr="005C5745">
                    <w:rPr>
                      <w:rFonts w:ascii="Verdana" w:eastAsia="Times New Roman" w:hAnsi="Verdana" w:cs="Times New Roman"/>
                      <w:color w:val="000000"/>
                      <w:sz w:val="18"/>
                      <w:szCs w:val="18"/>
                      <w:lang w:val="el-GR" w:eastAsia="en-GB"/>
                    </w:rPr>
                    <w:t xml:space="preserve"> είναι τα εξής:</w:t>
                  </w:r>
                </w:p>
                <w:p w14:paraId="23F3A2B9" w14:textId="77777777" w:rsidR="005C5745" w:rsidRPr="005C5745" w:rsidRDefault="005C5745" w:rsidP="005C5745">
                  <w:pPr>
                    <w:spacing w:before="45" w:after="45" w:line="240" w:lineRule="auto"/>
                    <w:ind w:left="180"/>
                    <w:jc w:val="both"/>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b/>
                      <w:bCs/>
                      <w:i/>
                      <w:iCs/>
                      <w:color w:val="000000"/>
                      <w:sz w:val="18"/>
                      <w:szCs w:val="18"/>
                      <w:u w:val="single"/>
                      <w:lang w:eastAsia="en-GB"/>
                    </w:rPr>
                    <w:t>Κόστος</w:t>
                  </w:r>
                  <w:proofErr w:type="spellEnd"/>
                  <w:r w:rsidRPr="005C5745">
                    <w:rPr>
                      <w:rFonts w:ascii="Verdana" w:eastAsia="Times New Roman" w:hAnsi="Verdana" w:cs="Times New Roman"/>
                      <w:b/>
                      <w:bCs/>
                      <w:i/>
                      <w:iCs/>
                      <w:color w:val="000000"/>
                      <w:sz w:val="18"/>
                      <w:szCs w:val="18"/>
                      <w:lang w:eastAsia="en-GB"/>
                    </w:rPr>
                    <w:t xml:space="preserve"> </w:t>
                  </w:r>
                </w:p>
                <w:tbl>
                  <w:tblPr>
                    <w:tblW w:w="0" w:type="auto"/>
                    <w:tblCellSpacing w:w="0" w:type="dxa"/>
                    <w:tblCellMar>
                      <w:left w:w="0" w:type="dxa"/>
                      <w:right w:w="0" w:type="dxa"/>
                    </w:tblCellMar>
                    <w:tblLook w:val="04A0" w:firstRow="1" w:lastRow="0" w:firstColumn="1" w:lastColumn="0" w:noHBand="0" w:noVBand="1"/>
                  </w:tblPr>
                  <w:tblGrid>
                    <w:gridCol w:w="195"/>
                    <w:gridCol w:w="13582"/>
                  </w:tblGrid>
                  <w:tr w:rsidR="005C5745" w:rsidRPr="005C5745" w14:paraId="5AC4CD22" w14:textId="77777777" w:rsidTr="005C5745">
                    <w:trPr>
                      <w:tblCellSpacing w:w="0" w:type="dxa"/>
                    </w:trPr>
                    <w:tc>
                      <w:tcPr>
                        <w:tcW w:w="195" w:type="dxa"/>
                        <w:vAlign w:val="bottom"/>
                        <w:hideMark/>
                      </w:tcPr>
                      <w:p w14:paraId="54B6664D"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747F82AB"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8"/>
                            <w:szCs w:val="18"/>
                            <w:lang w:val="el-GR" w:eastAsia="en-GB"/>
                          </w:rPr>
                          <w:t xml:space="preserve">Κόστος επένδυσης </w:t>
                        </w:r>
                        <w:r w:rsidRPr="005C5745">
                          <w:rPr>
                            <w:rFonts w:ascii="Verdana" w:eastAsia="Times New Roman" w:hAnsi="Verdana" w:cs="Times New Roman"/>
                            <w:b/>
                            <w:bCs/>
                            <w:i/>
                            <w:iCs/>
                            <w:color w:val="000000"/>
                            <w:sz w:val="18"/>
                            <w:szCs w:val="18"/>
                            <w:lang w:val="el-GR" w:eastAsia="en-GB"/>
                          </w:rPr>
                          <w:t>(για έκτακτη συντήρηση)</w:t>
                        </w:r>
                        <w:r w:rsidRPr="005C5745">
                          <w:rPr>
                            <w:rFonts w:ascii="Verdana" w:eastAsia="Times New Roman" w:hAnsi="Verdana" w:cs="Times New Roman"/>
                            <w:b/>
                            <w:bCs/>
                            <w:color w:val="000000"/>
                            <w:sz w:val="18"/>
                            <w:szCs w:val="18"/>
                            <w:lang w:val="el-GR" w:eastAsia="en-GB"/>
                          </w:rPr>
                          <w:t>:</w:t>
                        </w:r>
                        <w:r w:rsidRPr="005C5745">
                          <w:rPr>
                            <w:rFonts w:ascii="Verdana" w:eastAsia="Times New Roman" w:hAnsi="Verdana" w:cs="Times New Roman"/>
                            <w:color w:val="000000"/>
                            <w:sz w:val="18"/>
                            <w:szCs w:val="18"/>
                            <w:lang w:val="el-GR" w:eastAsia="en-GB"/>
                          </w:rPr>
                          <w:t xml:space="preserve"> Κόστος ανακαίνισης (π.χ. ελαιοχρωματισμός, τοποθέτηση σήμανσης, κ.λπ.), κόστος αναβάθμισης του υφιστάμενου συστήματος πυρόσβεσης. </w:t>
                        </w:r>
                      </w:p>
                    </w:tc>
                  </w:tr>
                  <w:tr w:rsidR="005C5745" w:rsidRPr="005C5745" w14:paraId="66CE9D6C" w14:textId="77777777">
                    <w:trPr>
                      <w:tblCellSpacing w:w="0" w:type="dxa"/>
                    </w:trPr>
                    <w:tc>
                      <w:tcPr>
                        <w:tcW w:w="195" w:type="dxa"/>
                        <w:vAlign w:val="bottom"/>
                        <w:hideMark/>
                      </w:tcPr>
                      <w:p w14:paraId="4AFE8AA9"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lastRenderedPageBreak/>
                          <w:t>▪</w:t>
                        </w:r>
                      </w:p>
                    </w:tc>
                    <w:tc>
                      <w:tcPr>
                        <w:tcW w:w="0" w:type="auto"/>
                        <w:vAlign w:val="bottom"/>
                        <w:hideMark/>
                      </w:tcPr>
                      <w:p w14:paraId="221A5228"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8"/>
                            <w:szCs w:val="18"/>
                            <w:lang w:val="el-GR" w:eastAsia="en-GB"/>
                          </w:rPr>
                          <w:t>Λειτουργικό κόστος:</w:t>
                        </w:r>
                        <w:r w:rsidRPr="005C5745">
                          <w:rPr>
                            <w:rFonts w:ascii="Verdana" w:eastAsia="Times New Roman" w:hAnsi="Verdana" w:cs="Times New Roman"/>
                            <w:color w:val="000000"/>
                            <w:sz w:val="18"/>
                            <w:szCs w:val="18"/>
                            <w:lang w:val="el-GR" w:eastAsia="en-GB"/>
                          </w:rPr>
                          <w:t xml:space="preserve"> κόστος Ανθρωπίνων Πόρων (μισθοί, επιδόματα &amp; παροχές, άλλα έξοδα), κόστος χρηματοδοτικής μίσθωσης Εξοπλισμού, κόστος Δικτύων Οργανισμών Κοινής Ωφέλειας (ηλεκτρικό ρεύμα, νερό), κόστος Τηλεπικοινωνιών, κόστος Ασφάλισης, Κρατικοί Φόροι, κόστος Αναλωσίμων, κόστος αδειών χρήσης Λογισμικού, Διάφορα έξοδα.</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tc>
                  </w:tr>
                </w:tbl>
                <w:p w14:paraId="1F7A30B9"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13582"/>
                  </w:tblGrid>
                  <w:tr w:rsidR="005C5745" w:rsidRPr="005C5745" w14:paraId="604390E7" w14:textId="77777777" w:rsidTr="005C5745">
                    <w:trPr>
                      <w:tblCellSpacing w:w="0" w:type="dxa"/>
                    </w:trPr>
                    <w:tc>
                      <w:tcPr>
                        <w:tcW w:w="195" w:type="dxa"/>
                        <w:vAlign w:val="bottom"/>
                        <w:hideMark/>
                      </w:tcPr>
                      <w:p w14:paraId="2DABDFAE"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35B0F213"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8"/>
                            <w:szCs w:val="18"/>
                            <w:lang w:val="el-GR" w:eastAsia="en-GB"/>
                          </w:rPr>
                          <w:t>Κόστος συντήρησης:</w:t>
                        </w:r>
                        <w:r w:rsidRPr="005C5745">
                          <w:rPr>
                            <w:rFonts w:ascii="Verdana" w:eastAsia="Times New Roman" w:hAnsi="Verdana" w:cs="Times New Roman"/>
                            <w:color w:val="000000"/>
                            <w:sz w:val="18"/>
                            <w:szCs w:val="18"/>
                            <w:lang w:val="el-GR" w:eastAsia="en-GB"/>
                          </w:rPr>
                          <w:t xml:space="preserve"> Κόστος συντήρησης υποδομής (κόστος για την ετήσια συντήρηση των πληροφοριακών συστημάτων και των εγκαταστάσεων στάθμευσης)</w:t>
                        </w:r>
                      </w:p>
                    </w:tc>
                  </w:tr>
                </w:tbl>
                <w:p w14:paraId="1B1ACB22" w14:textId="77777777" w:rsidR="005C5745" w:rsidRPr="005C5745" w:rsidRDefault="005C5745" w:rsidP="005C5745">
                  <w:pPr>
                    <w:spacing w:before="45" w:after="45" w:line="240" w:lineRule="auto"/>
                    <w:ind w:left="180"/>
                    <w:jc w:val="both"/>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b/>
                      <w:bCs/>
                      <w:i/>
                      <w:iCs/>
                      <w:color w:val="000000"/>
                      <w:sz w:val="18"/>
                      <w:szCs w:val="18"/>
                      <w:u w:val="single"/>
                      <w:lang w:eastAsia="en-GB"/>
                    </w:rPr>
                    <w:t>Οφέλη</w:t>
                  </w:r>
                  <w:proofErr w:type="spellEnd"/>
                </w:p>
                <w:tbl>
                  <w:tblPr>
                    <w:tblW w:w="0" w:type="auto"/>
                    <w:tblCellSpacing w:w="0" w:type="dxa"/>
                    <w:tblCellMar>
                      <w:left w:w="0" w:type="dxa"/>
                      <w:right w:w="0" w:type="dxa"/>
                    </w:tblCellMar>
                    <w:tblLook w:val="04A0" w:firstRow="1" w:lastRow="0" w:firstColumn="1" w:lastColumn="0" w:noHBand="0" w:noVBand="1"/>
                  </w:tblPr>
                  <w:tblGrid>
                    <w:gridCol w:w="195"/>
                    <w:gridCol w:w="5651"/>
                  </w:tblGrid>
                  <w:tr w:rsidR="005C5745" w:rsidRPr="005C5745" w14:paraId="1B12CBAB" w14:textId="77777777" w:rsidTr="005C5745">
                    <w:trPr>
                      <w:tblCellSpacing w:w="0" w:type="dxa"/>
                    </w:trPr>
                    <w:tc>
                      <w:tcPr>
                        <w:tcW w:w="195" w:type="dxa"/>
                        <w:vAlign w:val="bottom"/>
                        <w:hideMark/>
                      </w:tcPr>
                      <w:p w14:paraId="6DEF8954"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19743B47"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8"/>
                            <w:szCs w:val="18"/>
                            <w:lang w:val="el-GR" w:eastAsia="en-GB"/>
                          </w:rPr>
                          <w:t>Χρηματοοικονομικά οφέλη:</w:t>
                        </w:r>
                        <w:r w:rsidRPr="005C5745">
                          <w:rPr>
                            <w:rFonts w:ascii="Verdana" w:eastAsia="Times New Roman" w:hAnsi="Verdana" w:cs="Times New Roman"/>
                            <w:color w:val="000000"/>
                            <w:sz w:val="18"/>
                            <w:szCs w:val="18"/>
                            <w:lang w:val="el-GR" w:eastAsia="en-GB"/>
                          </w:rPr>
                          <w:t xml:space="preserve"> Έσοδα από τα τέλη στάθμευσης</w:t>
                        </w:r>
                      </w:p>
                    </w:tc>
                  </w:tr>
                </w:tbl>
                <w:p w14:paraId="3B1C0D6D" w14:textId="77777777" w:rsidR="005C5745" w:rsidRPr="005C5745" w:rsidRDefault="005C5745" w:rsidP="005C5745">
                  <w:pPr>
                    <w:spacing w:before="45" w:after="45" w:line="240" w:lineRule="auto"/>
                    <w:ind w:left="180"/>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Τα μεγέθη κόστους και τα οφέλη που σχετίζονται με την απόφαση του Δήμου για επένδυση €1 εκατομμυρίου για αναβάθμιση και επέκταση του χώρου στάθμευσης </w:t>
                  </w:r>
                  <w:r w:rsidRPr="005C5745">
                    <w:rPr>
                      <w:rFonts w:ascii="Verdana" w:eastAsia="Times New Roman" w:hAnsi="Verdana" w:cs="Times New Roman"/>
                      <w:b/>
                      <w:bCs/>
                      <w:color w:val="000000"/>
                      <w:sz w:val="18"/>
                      <w:szCs w:val="18"/>
                      <w:lang w:val="el-GR" w:eastAsia="en-GB"/>
                    </w:rPr>
                    <w:t>(Επιλογή 2)</w:t>
                  </w:r>
                  <w:r w:rsidRPr="005C5745">
                    <w:rPr>
                      <w:rFonts w:ascii="Verdana" w:eastAsia="Times New Roman" w:hAnsi="Verdana" w:cs="Times New Roman"/>
                      <w:color w:val="000000"/>
                      <w:sz w:val="18"/>
                      <w:szCs w:val="18"/>
                      <w:lang w:val="el-GR" w:eastAsia="en-GB"/>
                    </w:rPr>
                    <w:t xml:space="preserve"> είναι τα εξής:</w:t>
                  </w:r>
                </w:p>
                <w:p w14:paraId="3E3BF22E" w14:textId="77777777" w:rsidR="005C5745" w:rsidRPr="005C5745" w:rsidRDefault="005C5745" w:rsidP="005C5745">
                  <w:pPr>
                    <w:spacing w:before="45" w:after="45" w:line="240" w:lineRule="auto"/>
                    <w:ind w:left="180"/>
                    <w:jc w:val="both"/>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b/>
                      <w:bCs/>
                      <w:i/>
                      <w:iCs/>
                      <w:color w:val="000000"/>
                      <w:sz w:val="18"/>
                      <w:szCs w:val="18"/>
                      <w:u w:val="single"/>
                      <w:lang w:eastAsia="en-GB"/>
                    </w:rPr>
                    <w:t>Κόστος</w:t>
                  </w:r>
                  <w:proofErr w:type="spellEnd"/>
                  <w:r w:rsidRPr="005C5745">
                    <w:rPr>
                      <w:rFonts w:ascii="Verdana" w:eastAsia="Times New Roman" w:hAnsi="Verdana" w:cs="Times New Roman"/>
                      <w:b/>
                      <w:bCs/>
                      <w:i/>
                      <w:iCs/>
                      <w:color w:val="000000"/>
                      <w:sz w:val="18"/>
                      <w:szCs w:val="18"/>
                      <w:lang w:eastAsia="en-GB"/>
                    </w:rPr>
                    <w:t xml:space="preserve"> </w:t>
                  </w:r>
                </w:p>
                <w:tbl>
                  <w:tblPr>
                    <w:tblW w:w="0" w:type="auto"/>
                    <w:tblCellSpacing w:w="0" w:type="dxa"/>
                    <w:tblCellMar>
                      <w:left w:w="0" w:type="dxa"/>
                      <w:right w:w="0" w:type="dxa"/>
                    </w:tblCellMar>
                    <w:tblLook w:val="04A0" w:firstRow="1" w:lastRow="0" w:firstColumn="1" w:lastColumn="0" w:noHBand="0" w:noVBand="1"/>
                  </w:tblPr>
                  <w:tblGrid>
                    <w:gridCol w:w="195"/>
                    <w:gridCol w:w="9406"/>
                  </w:tblGrid>
                  <w:tr w:rsidR="005C5745" w:rsidRPr="005C5745" w14:paraId="5C010025" w14:textId="77777777" w:rsidTr="005C5745">
                    <w:trPr>
                      <w:tblCellSpacing w:w="0" w:type="dxa"/>
                    </w:trPr>
                    <w:tc>
                      <w:tcPr>
                        <w:tcW w:w="195" w:type="dxa"/>
                        <w:vAlign w:val="bottom"/>
                        <w:hideMark/>
                      </w:tcPr>
                      <w:p w14:paraId="1CC6918D"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08CA829A"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8"/>
                            <w:szCs w:val="18"/>
                            <w:lang w:val="el-GR" w:eastAsia="en-GB"/>
                          </w:rPr>
                          <w:t>Κόστος επένδυσης:</w:t>
                        </w:r>
                        <w:r w:rsidRPr="005C5745">
                          <w:rPr>
                            <w:rFonts w:ascii="Verdana" w:eastAsia="Times New Roman" w:hAnsi="Verdana" w:cs="Times New Roman"/>
                            <w:color w:val="000000"/>
                            <w:sz w:val="18"/>
                            <w:szCs w:val="18"/>
                            <w:lang w:val="el-GR" w:eastAsia="en-GB"/>
                          </w:rPr>
                          <w:t xml:space="preserve"> Κόστος για αναβάθμιση του χώρου στάθμευσης και αύξηση της χωρητικότητάς του </w:t>
                        </w:r>
                      </w:p>
                    </w:tc>
                  </w:tr>
                  <w:tr w:rsidR="005C5745" w:rsidRPr="005C5745" w14:paraId="6F414F43" w14:textId="77777777">
                    <w:trPr>
                      <w:tblCellSpacing w:w="0" w:type="dxa"/>
                    </w:trPr>
                    <w:tc>
                      <w:tcPr>
                        <w:tcW w:w="195" w:type="dxa"/>
                        <w:vAlign w:val="bottom"/>
                        <w:hideMark/>
                      </w:tcPr>
                      <w:p w14:paraId="2D6F801B"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29925E88"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8"/>
                            <w:szCs w:val="18"/>
                            <w:lang w:val="el-GR" w:eastAsia="en-GB"/>
                          </w:rPr>
                          <w:t>Λειτουργικό κόστος:</w:t>
                        </w:r>
                        <w:r w:rsidRPr="005C5745">
                          <w:rPr>
                            <w:rFonts w:ascii="Verdana" w:eastAsia="Times New Roman" w:hAnsi="Verdana" w:cs="Times New Roman"/>
                            <w:color w:val="000000"/>
                            <w:sz w:val="18"/>
                            <w:szCs w:val="18"/>
                            <w:lang w:val="el-GR" w:eastAsia="en-GB"/>
                          </w:rPr>
                          <w:t xml:space="preserve"> Ίδιο με την Επιλογή 1</w:t>
                        </w:r>
                      </w:p>
                    </w:tc>
                  </w:tr>
                </w:tbl>
                <w:p w14:paraId="378A9E99"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13582"/>
                  </w:tblGrid>
                  <w:tr w:rsidR="005C5745" w:rsidRPr="005C5745" w14:paraId="17F7F75B" w14:textId="77777777" w:rsidTr="005C5745">
                    <w:trPr>
                      <w:tblCellSpacing w:w="0" w:type="dxa"/>
                    </w:trPr>
                    <w:tc>
                      <w:tcPr>
                        <w:tcW w:w="195" w:type="dxa"/>
                        <w:vAlign w:val="bottom"/>
                        <w:hideMark/>
                      </w:tcPr>
                      <w:p w14:paraId="5BF324BA"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19D4E8E9"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8"/>
                            <w:szCs w:val="18"/>
                            <w:lang w:val="el-GR" w:eastAsia="en-GB"/>
                          </w:rPr>
                          <w:t>Κόστος συντήρησης:</w:t>
                        </w:r>
                        <w:r w:rsidRPr="005C5745">
                          <w:rPr>
                            <w:rFonts w:ascii="Verdana" w:eastAsia="Times New Roman" w:hAnsi="Verdana" w:cs="Times New Roman"/>
                            <w:color w:val="000000"/>
                            <w:sz w:val="18"/>
                            <w:szCs w:val="18"/>
                            <w:lang w:val="el-GR" w:eastAsia="en-GB"/>
                          </w:rPr>
                          <w:t xml:space="preserve"> Κόστος συντήρησης υποδομής (κόστος για την ετήσια συντήρηση πληροφοριακών συστημάτων και εγκαταστάσεων στάθμευσης + κόστος για τη συντήρηση υποδομής ανά 5ετία) </w:t>
                        </w:r>
                      </w:p>
                    </w:tc>
                  </w:tr>
                </w:tbl>
                <w:p w14:paraId="1ED92731" w14:textId="77777777" w:rsidR="005C5745" w:rsidRPr="005C5745" w:rsidRDefault="005C5745" w:rsidP="005C5745">
                  <w:pPr>
                    <w:spacing w:before="45" w:after="45" w:line="240" w:lineRule="auto"/>
                    <w:ind w:left="180"/>
                    <w:jc w:val="both"/>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b/>
                      <w:bCs/>
                      <w:i/>
                      <w:iCs/>
                      <w:color w:val="000000"/>
                      <w:sz w:val="18"/>
                      <w:szCs w:val="18"/>
                      <w:u w:val="single"/>
                      <w:lang w:eastAsia="en-GB"/>
                    </w:rPr>
                    <w:t>Οφέλη</w:t>
                  </w:r>
                  <w:proofErr w:type="spellEnd"/>
                </w:p>
                <w:tbl>
                  <w:tblPr>
                    <w:tblW w:w="0" w:type="auto"/>
                    <w:tblCellSpacing w:w="0" w:type="dxa"/>
                    <w:tblCellMar>
                      <w:left w:w="0" w:type="dxa"/>
                      <w:right w:w="0" w:type="dxa"/>
                    </w:tblCellMar>
                    <w:tblLook w:val="04A0" w:firstRow="1" w:lastRow="0" w:firstColumn="1" w:lastColumn="0" w:noHBand="0" w:noVBand="1"/>
                  </w:tblPr>
                  <w:tblGrid>
                    <w:gridCol w:w="195"/>
                    <w:gridCol w:w="5651"/>
                  </w:tblGrid>
                  <w:tr w:rsidR="005C5745" w:rsidRPr="005C5745" w14:paraId="1F2F25E1" w14:textId="77777777" w:rsidTr="005C5745">
                    <w:trPr>
                      <w:tblCellSpacing w:w="0" w:type="dxa"/>
                    </w:trPr>
                    <w:tc>
                      <w:tcPr>
                        <w:tcW w:w="195" w:type="dxa"/>
                        <w:vAlign w:val="bottom"/>
                        <w:hideMark/>
                      </w:tcPr>
                      <w:p w14:paraId="0BC14112"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0FEA00D8"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8"/>
                            <w:szCs w:val="18"/>
                            <w:lang w:val="el-GR" w:eastAsia="en-GB"/>
                          </w:rPr>
                          <w:t>Χρηματοοικονομικά οφέλη:</w:t>
                        </w:r>
                        <w:r w:rsidRPr="005C5745">
                          <w:rPr>
                            <w:rFonts w:ascii="Verdana" w:eastAsia="Times New Roman" w:hAnsi="Verdana" w:cs="Times New Roman"/>
                            <w:color w:val="000000"/>
                            <w:sz w:val="18"/>
                            <w:szCs w:val="18"/>
                            <w:lang w:val="el-GR" w:eastAsia="en-GB"/>
                          </w:rPr>
                          <w:t xml:space="preserve"> Έσοδα από τα τέλη στάθμευσης</w:t>
                        </w:r>
                      </w:p>
                    </w:tc>
                  </w:tr>
                </w:tbl>
                <w:p w14:paraId="6ECCE02F" w14:textId="77777777" w:rsidR="005C5745" w:rsidRPr="005C5745" w:rsidRDefault="005C5745" w:rsidP="005C5745">
                  <w:pPr>
                    <w:spacing w:after="0" w:line="240" w:lineRule="auto"/>
                    <w:jc w:val="both"/>
                    <w:rPr>
                      <w:rFonts w:ascii="Verdana" w:eastAsia="Times New Roman" w:hAnsi="Verdana" w:cs="Times New Roman"/>
                      <w:color w:val="000000"/>
                      <w:sz w:val="18"/>
                      <w:szCs w:val="18"/>
                      <w:lang w:val="el-GR" w:eastAsia="en-GB"/>
                    </w:rPr>
                  </w:pPr>
                </w:p>
              </w:tc>
            </w:tr>
          </w:tbl>
          <w:p w14:paraId="47DEFB56"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eastAsia="en-GB"/>
              </w:rPr>
              <w:lastRenderedPageBreak/>
              <w:t> </w:t>
            </w:r>
          </w:p>
          <w:p w14:paraId="505CFB4A" w14:textId="77777777" w:rsidR="005C5745" w:rsidRPr="005C5745" w:rsidRDefault="005C5745" w:rsidP="005C5745">
            <w:pPr>
              <w:pBdr>
                <w:top w:val="single" w:sz="6" w:space="1" w:color="000000"/>
                <w:left w:val="single" w:sz="6" w:space="4" w:color="000000"/>
                <w:bottom w:val="single" w:sz="6" w:space="1" w:color="000000"/>
                <w:right w:val="single" w:sz="6" w:space="4" w:color="000000"/>
              </w:pBdr>
              <w:shd w:val="clear" w:color="auto" w:fill="FFFF99"/>
              <w:spacing w:before="30" w:after="30" w:line="240" w:lineRule="auto"/>
              <w:ind w:left="-75" w:right="-75"/>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Υπολογισμός/ εκτίμηση των σχετικών Μεγεθών Κόστους &amp; Οφελών</w:t>
            </w:r>
            <w:r w:rsidRPr="005C5745">
              <w:rPr>
                <w:rFonts w:ascii="Verdana" w:eastAsia="Times New Roman" w:hAnsi="Verdana" w:cs="Times New Roman"/>
                <w:b/>
                <w:bCs/>
                <w:color w:val="000080"/>
                <w:sz w:val="18"/>
                <w:szCs w:val="18"/>
                <w:lang w:eastAsia="en-GB"/>
              </w:rPr>
              <w:t> </w:t>
            </w:r>
            <w:r w:rsidRPr="005C5745">
              <w:rPr>
                <w:rFonts w:ascii="Verdana" w:eastAsia="Times New Roman" w:hAnsi="Verdana" w:cs="Times New Roman"/>
                <w:b/>
                <w:bCs/>
                <w:color w:val="000080"/>
                <w:sz w:val="18"/>
                <w:szCs w:val="18"/>
                <w:lang w:val="el-GR" w:eastAsia="en-GB"/>
              </w:rPr>
              <w:t xml:space="preserve"> </w:t>
            </w:r>
          </w:p>
          <w:p w14:paraId="1A21390D"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drawing>
                <wp:inline distT="0" distB="0" distL="0" distR="0" wp14:anchorId="2945FD3F" wp14:editId="7D112DF4">
                  <wp:extent cx="400050" cy="257175"/>
                  <wp:effectExtent l="0" t="0" r="0" b="9525"/>
                  <wp:docPr id="4" name="Picture 4" descr="http://www.publicprocurementguides.treasury.gov.cy/OHS-GR/HTML/embim9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ublicprocurementguides.treasury.gov.cy/OHS-GR/HTML/embim95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Αφού προσδιοριστούν τα μεγέθη κόστους και τα οφέλη, επόμενο βήμα είναι να τους αποδοθούν χρηματικές (€) αξίες. Το πρακτικό πρόβλημα είναι πως δεν είναι δυνατή η ποσοτικοποίηση και ο υπολογισμός σε ευρώ όλων των μεγεθών κόστους και των οφελών (όπως για παράδειγμα του περιβαλλοντικού και κοινωνικού κόστους και του κόστους για την υγεία, καθώς και των αντίστοιχων οφελών). Όταν δεν είναι εύκολη και αξιόπιστη η μέτρηση των μεγεθών κόστους και των οφελών με χρηματικούς όρους, θα πρέπει να εξαιρούνται από την ποσοτική ανάλυση. Ωστόσο, αυτά τα άυλα μεγέθη κόστους/οφελών μπορεί να έχουν επίπτωση στη διαδικασία λήψης αποφάσεων και στην εκλογή της προτιμώμενης επιλογής, επομένως θα πρέπει να αναλύονται με χρήση ποιοτικής ανάλυσης και άλλων τεχνικών προκειμένου να λαμβάνονται υπόψη στη διαδικασία λήψης αποφάσεων.</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p w14:paraId="0796622C"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drawing>
                <wp:inline distT="0" distB="0" distL="0" distR="0" wp14:anchorId="171CE234" wp14:editId="4A1EA268">
                  <wp:extent cx="400050" cy="257175"/>
                  <wp:effectExtent l="0" t="0" r="0" b="9525"/>
                  <wp:docPr id="5" name="Picture 5" descr="http://www.publicprocurementguides.treasury.gov.cy/OHS-GR/HTML/embim9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ublicprocurementguides.treasury.gov.cy/OHS-GR/HTML/embim95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 xml:space="preserve">Στην ειδική περίπτωση όπου δεν είναι δυνατή η απόδοση χρηματικής αξίας στα σημαντικότερα οφέλη των εναλλακτικών τρόπων παραγωγής του ίδιου αποτελέσματος/οφέλους, συνιστάται η χρησιμοποίηση </w:t>
            </w:r>
            <w:r w:rsidRPr="005C5745">
              <w:rPr>
                <w:rFonts w:ascii="Verdana" w:eastAsia="Times New Roman" w:hAnsi="Verdana" w:cs="Times New Roman"/>
                <w:b/>
                <w:bCs/>
                <w:color w:val="000080"/>
                <w:sz w:val="18"/>
                <w:szCs w:val="18"/>
                <w:lang w:val="el-GR" w:eastAsia="en-GB"/>
              </w:rPr>
              <w:t>Ανάλυσης Αποδοτικότητας Κόστους (</w:t>
            </w:r>
            <w:r w:rsidRPr="005C5745">
              <w:rPr>
                <w:rFonts w:ascii="Verdana" w:eastAsia="Times New Roman" w:hAnsi="Verdana" w:cs="Times New Roman"/>
                <w:b/>
                <w:bCs/>
                <w:color w:val="000080"/>
                <w:sz w:val="18"/>
                <w:szCs w:val="18"/>
                <w:lang w:eastAsia="en-GB"/>
              </w:rPr>
              <w:t>Cost</w:t>
            </w:r>
            <w:r w:rsidRPr="005C5745">
              <w:rPr>
                <w:rFonts w:ascii="Verdana" w:eastAsia="Times New Roman" w:hAnsi="Verdana" w:cs="Times New Roman"/>
                <w:b/>
                <w:bCs/>
                <w:color w:val="000080"/>
                <w:sz w:val="18"/>
                <w:szCs w:val="18"/>
                <w:lang w:val="el-GR" w:eastAsia="en-GB"/>
              </w:rPr>
              <w:t xml:space="preserve"> </w:t>
            </w:r>
            <w:r w:rsidRPr="005C5745">
              <w:rPr>
                <w:rFonts w:ascii="Verdana" w:eastAsia="Times New Roman" w:hAnsi="Verdana" w:cs="Times New Roman"/>
                <w:b/>
                <w:bCs/>
                <w:color w:val="000080"/>
                <w:sz w:val="18"/>
                <w:szCs w:val="18"/>
                <w:lang w:eastAsia="en-GB"/>
              </w:rPr>
              <w:t>Effectiveness</w:t>
            </w:r>
            <w:r w:rsidRPr="005C5745">
              <w:rPr>
                <w:rFonts w:ascii="Verdana" w:eastAsia="Times New Roman" w:hAnsi="Verdana" w:cs="Times New Roman"/>
                <w:b/>
                <w:bCs/>
                <w:color w:val="000080"/>
                <w:sz w:val="18"/>
                <w:szCs w:val="18"/>
                <w:lang w:val="el-GR" w:eastAsia="en-GB"/>
              </w:rPr>
              <w:t xml:space="preserve"> </w:t>
            </w:r>
            <w:r w:rsidRPr="005C5745">
              <w:rPr>
                <w:rFonts w:ascii="Verdana" w:eastAsia="Times New Roman" w:hAnsi="Verdana" w:cs="Times New Roman"/>
                <w:b/>
                <w:bCs/>
                <w:color w:val="000080"/>
                <w:sz w:val="18"/>
                <w:szCs w:val="18"/>
                <w:lang w:eastAsia="en-GB"/>
              </w:rPr>
              <w:t>Analysis</w:t>
            </w:r>
            <w:r w:rsidRPr="005C5745">
              <w:rPr>
                <w:rFonts w:ascii="Verdana" w:eastAsia="Times New Roman" w:hAnsi="Verdana" w:cs="Times New Roman"/>
                <w:b/>
                <w:bCs/>
                <w:color w:val="000080"/>
                <w:sz w:val="18"/>
                <w:szCs w:val="18"/>
                <w:lang w:val="el-GR" w:eastAsia="en-GB"/>
              </w:rPr>
              <w:t>)</w:t>
            </w:r>
            <w:r w:rsidRPr="005C5745">
              <w:rPr>
                <w:rFonts w:ascii="Verdana" w:eastAsia="Times New Roman" w:hAnsi="Verdana" w:cs="Times New Roman"/>
                <w:color w:val="000000"/>
                <w:sz w:val="18"/>
                <w:szCs w:val="18"/>
                <w:lang w:val="el-GR" w:eastAsia="en-GB"/>
              </w:rPr>
              <w:t xml:space="preserve">. Η ανάλυση αποδοτικότητας κόστους χρησιμοποιείται για την εύρεση της επιλογής που ικανοποιεί έναν προκαθορισμένο στόχο με το ελάχιστο κόστος. </w:t>
            </w:r>
          </w:p>
          <w:p w14:paraId="2F40D92C"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drawing>
                <wp:inline distT="0" distB="0" distL="0" distR="0" wp14:anchorId="14494E7E" wp14:editId="5B550207">
                  <wp:extent cx="400050" cy="257175"/>
                  <wp:effectExtent l="0" t="0" r="0" b="9525"/>
                  <wp:docPr id="6" name="Picture 6" descr="http://www.publicprocurementguides.treasury.gov.cy/OHS-GR/HTML/embim9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ublicprocurementguides.treasury.gov.cy/OHS-GR/HTML/embim95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 xml:space="preserve">Τα μεγέθη κόστους και τα οφέλη θα πρέπει να εκφράζονται σε </w:t>
            </w:r>
            <w:r w:rsidRPr="005C5745">
              <w:rPr>
                <w:rFonts w:ascii="Verdana" w:eastAsia="Times New Roman" w:hAnsi="Verdana" w:cs="Times New Roman"/>
                <w:b/>
                <w:bCs/>
                <w:color w:val="000000"/>
                <w:sz w:val="18"/>
                <w:szCs w:val="18"/>
                <w:lang w:val="el-GR" w:eastAsia="en-GB"/>
              </w:rPr>
              <w:t xml:space="preserve">«σταθερές τιμές» </w:t>
            </w:r>
            <w:r w:rsidRPr="005C5745">
              <w:rPr>
                <w:rFonts w:ascii="Verdana" w:eastAsia="Times New Roman" w:hAnsi="Verdana" w:cs="Times New Roman"/>
                <w:color w:val="000000"/>
                <w:sz w:val="18"/>
                <w:szCs w:val="18"/>
                <w:lang w:val="el-GR" w:eastAsia="en-GB"/>
              </w:rPr>
              <w:t xml:space="preserve">σε αντιδιαστολή με τις </w:t>
            </w:r>
            <w:r w:rsidRPr="005C5745">
              <w:rPr>
                <w:rFonts w:ascii="Verdana" w:eastAsia="Times New Roman" w:hAnsi="Verdana" w:cs="Times New Roman"/>
                <w:b/>
                <w:bCs/>
                <w:color w:val="000000"/>
                <w:sz w:val="18"/>
                <w:szCs w:val="18"/>
                <w:lang w:val="el-GR" w:eastAsia="en-GB"/>
              </w:rPr>
              <w:t xml:space="preserve">«τρέχουσες τιμές» </w:t>
            </w:r>
            <w:r w:rsidRPr="005C5745">
              <w:rPr>
                <w:rFonts w:ascii="Verdana" w:eastAsia="Times New Roman" w:hAnsi="Verdana" w:cs="Times New Roman"/>
                <w:color w:val="000000"/>
                <w:sz w:val="18"/>
                <w:szCs w:val="18"/>
                <w:lang w:val="el-GR" w:eastAsia="en-GB"/>
              </w:rPr>
              <w:t>(δηλαδή τιμές κατά το χρόνο παροχής των ειδών ή υπηρεσιών). Αυτό σημαίνει ότι από την ανάλυση εξαιρείται ο πληθωρισμός, γιατί μας ενδιαφέρουν μόνο τα μεγέθη κόστους και τα οφέλη σε κοινή χρηματική αξία. Συνιστάται γενικά να γίνεται η υπόθεση εργασίας ότι τα μεγέθη κόστους ενός είδους ή μίας υπηρεσίας θα παραμένουν σταθερά σε πραγματικούς όρους (δηλαδή πριν από τον πληθωρισμό), εκτός αν υπάρχει βάσιμη πρόβλεψη ότι η τιμή τους θα μεταβληθεί σε σχέση με όλες τις άλλες τιμές στην οικονομία (π.χ. προϊόντα υψηλής τεχνολογίας για τα οποία αναμένεται πτώση των τιμών σε πραγματικούς όρους, καύσιμα των οποίων η προμήθεια είναι σπάνια ή περιορισμένη, μισθοί που αναμένεται να αυξηθούν ταχύτερα από το ρυθμό του πληθωρισμού).</w:t>
            </w:r>
          </w:p>
          <w:p w14:paraId="65D846BF"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lastRenderedPageBreak/>
              <w:drawing>
                <wp:inline distT="0" distB="0" distL="0" distR="0" wp14:anchorId="673BA09B" wp14:editId="758D40E2">
                  <wp:extent cx="400050" cy="257175"/>
                  <wp:effectExtent l="0" t="0" r="0" b="9525"/>
                  <wp:docPr id="7" name="Picture 7" descr="http://www.publicprocurementguides.treasury.gov.cy/OHS-GR/HTML/embim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ublicprocurementguides.treasury.gov.cy/OHS-GR/HTML/embim96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 xml:space="preserve">Τα μεγέθη κόστους θα πρέπει, επίσης, να βασίζονται σε </w:t>
            </w:r>
            <w:r w:rsidRPr="005C5745">
              <w:rPr>
                <w:rFonts w:ascii="Verdana" w:eastAsia="Times New Roman" w:hAnsi="Verdana" w:cs="Times New Roman"/>
                <w:b/>
                <w:bCs/>
                <w:color w:val="000000"/>
                <w:sz w:val="18"/>
                <w:szCs w:val="18"/>
                <w:lang w:val="el-GR" w:eastAsia="en-GB"/>
              </w:rPr>
              <w:t>«αγοραίες τιμές»</w:t>
            </w:r>
            <w:r w:rsidRPr="005C5745">
              <w:rPr>
                <w:rFonts w:ascii="Verdana" w:eastAsia="Times New Roman" w:hAnsi="Verdana" w:cs="Times New Roman"/>
                <w:color w:val="000000"/>
                <w:sz w:val="18"/>
                <w:szCs w:val="18"/>
                <w:lang w:val="el-GR" w:eastAsia="en-GB"/>
              </w:rPr>
              <w:t xml:space="preserve">, εκτός αν οι αγοραίες τιμές δεν είναι άμεσα </w:t>
            </w:r>
            <w:proofErr w:type="spellStart"/>
            <w:r w:rsidRPr="005C5745">
              <w:rPr>
                <w:rFonts w:ascii="Verdana" w:eastAsia="Times New Roman" w:hAnsi="Verdana" w:cs="Times New Roman"/>
                <w:color w:val="000000"/>
                <w:sz w:val="18"/>
                <w:szCs w:val="18"/>
                <w:lang w:val="el-GR" w:eastAsia="en-GB"/>
              </w:rPr>
              <w:t>παρατηρήσιμες</w:t>
            </w:r>
            <w:proofErr w:type="spellEnd"/>
            <w:r w:rsidRPr="005C5745">
              <w:rPr>
                <w:rFonts w:ascii="Verdana" w:eastAsia="Times New Roman" w:hAnsi="Verdana" w:cs="Times New Roman"/>
                <w:color w:val="000000"/>
                <w:sz w:val="18"/>
                <w:szCs w:val="18"/>
                <w:lang w:val="el-GR" w:eastAsia="en-GB"/>
              </w:rPr>
              <w:t xml:space="preserve"> ή εύκολα </w:t>
            </w:r>
            <w:proofErr w:type="spellStart"/>
            <w:r w:rsidRPr="005C5745">
              <w:rPr>
                <w:rFonts w:ascii="Verdana" w:eastAsia="Times New Roman" w:hAnsi="Verdana" w:cs="Times New Roman"/>
                <w:color w:val="000000"/>
                <w:sz w:val="18"/>
                <w:szCs w:val="18"/>
                <w:lang w:val="el-GR" w:eastAsia="en-GB"/>
              </w:rPr>
              <w:t>εκτιμήσιμες</w:t>
            </w:r>
            <w:proofErr w:type="spellEnd"/>
            <w:r w:rsidRPr="005C5745">
              <w:rPr>
                <w:rFonts w:ascii="Verdana" w:eastAsia="Times New Roman" w:hAnsi="Verdana" w:cs="Times New Roman"/>
                <w:color w:val="000000"/>
                <w:sz w:val="18"/>
                <w:szCs w:val="18"/>
                <w:lang w:val="el-GR" w:eastAsia="en-GB"/>
              </w:rPr>
              <w:t xml:space="preserve"> όπως είναι, π.χ. το περιβαλλοντικό και κοινωνικό κόστος και τα αντίστοιχα οφέλη. Σε τέτοιες περιπτώσεις θα πρέπει να ακολουθείται προσέγγιση εξέτασης της προτίμησης, ώστε να εκτιμάται η </w:t>
            </w:r>
            <w:r w:rsidRPr="005C5745">
              <w:rPr>
                <w:rFonts w:ascii="Verdana" w:eastAsia="Times New Roman" w:hAnsi="Verdana" w:cs="Times New Roman"/>
                <w:b/>
                <w:bCs/>
                <w:color w:val="000000"/>
                <w:sz w:val="18"/>
                <w:szCs w:val="18"/>
                <w:lang w:val="el-GR" w:eastAsia="en-GB"/>
              </w:rPr>
              <w:t xml:space="preserve">προθυμία του καταναλωτή να πληρώσει </w:t>
            </w:r>
            <w:r w:rsidRPr="005C5745">
              <w:rPr>
                <w:rFonts w:ascii="Verdana" w:eastAsia="Times New Roman" w:hAnsi="Verdana" w:cs="Times New Roman"/>
                <w:color w:val="000000"/>
                <w:sz w:val="18"/>
                <w:szCs w:val="18"/>
                <w:lang w:val="el-GR" w:eastAsia="en-GB"/>
              </w:rPr>
              <w:t xml:space="preserve">για το είδος ή την υπηρεσία ή η </w:t>
            </w:r>
            <w:r w:rsidRPr="005C5745">
              <w:rPr>
                <w:rFonts w:ascii="Verdana" w:eastAsia="Times New Roman" w:hAnsi="Verdana" w:cs="Times New Roman"/>
                <w:b/>
                <w:bCs/>
                <w:color w:val="000000"/>
                <w:sz w:val="18"/>
                <w:szCs w:val="18"/>
                <w:lang w:val="el-GR" w:eastAsia="en-GB"/>
              </w:rPr>
              <w:t xml:space="preserve">προθυμία του καταναλωτή να δεχτεί </w:t>
            </w:r>
            <w:r w:rsidRPr="005C5745">
              <w:rPr>
                <w:rFonts w:ascii="Verdana" w:eastAsia="Times New Roman" w:hAnsi="Verdana" w:cs="Times New Roman"/>
                <w:color w:val="000000"/>
                <w:sz w:val="18"/>
                <w:szCs w:val="18"/>
                <w:lang w:val="el-GR" w:eastAsia="en-GB"/>
              </w:rPr>
              <w:t>αποζημίωση προκειμένου να ανεχθεί ένα αρνητικό οικονομικό αποτέλεσμα.</w:t>
            </w:r>
          </w:p>
          <w:p w14:paraId="351EFE74"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drawing>
                <wp:inline distT="0" distB="0" distL="0" distR="0" wp14:anchorId="46FF117E" wp14:editId="424EDE1F">
                  <wp:extent cx="400050" cy="257175"/>
                  <wp:effectExtent l="0" t="0" r="0" b="9525"/>
                  <wp:docPr id="8" name="Picture 8" descr="http://www.publicprocurementguides.treasury.gov.cy/OHS-GR/HTML/embim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ublicprocurementguides.treasury.gov.cy/OHS-GR/HTML/embim96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Η εκτίμηση κόστους και οφέλους μπορεί να αποδειχθεί πολύ δύσκολη εργασία, ανάλογα με την υπό εξέταση περίπτωση, και σας συμβουλεύουμε να ζητήσετε τη συμβολή λογιστών, οικονομολόγων και άλλων ειδικών ανάλογα με την περίπτωση.</w:t>
            </w:r>
          </w:p>
          <w:tbl>
            <w:tblPr>
              <w:tblW w:w="0" w:type="auto"/>
              <w:tblCellSpacing w:w="0" w:type="dxa"/>
              <w:tblCellMar>
                <w:left w:w="0" w:type="dxa"/>
                <w:right w:w="0" w:type="dxa"/>
              </w:tblCellMar>
              <w:tblLook w:val="04A0" w:firstRow="1" w:lastRow="0" w:firstColumn="1" w:lastColumn="0" w:noHBand="0" w:noVBand="1"/>
            </w:tblPr>
            <w:tblGrid>
              <w:gridCol w:w="13808"/>
            </w:tblGrid>
            <w:tr w:rsidR="005C5745" w:rsidRPr="005C5745" w14:paraId="37FE2C3D" w14:textId="77777777" w:rsidTr="005C5745">
              <w:trPr>
                <w:tblCellSpacing w:w="0" w:type="dxa"/>
              </w:trPr>
              <w:tc>
                <w:tcPr>
                  <w:tcW w:w="0" w:type="auto"/>
                  <w:hideMark/>
                </w:tcPr>
                <w:tbl>
                  <w:tblPr>
                    <w:tblW w:w="0" w:type="auto"/>
                    <w:shd w:val="clear" w:color="auto" w:fill="CCFFFF"/>
                    <w:tblCellMar>
                      <w:left w:w="0" w:type="dxa"/>
                      <w:right w:w="0" w:type="dxa"/>
                    </w:tblCellMar>
                    <w:tblLook w:val="04A0" w:firstRow="1" w:lastRow="0" w:firstColumn="1" w:lastColumn="0" w:noHBand="0" w:noVBand="1"/>
                  </w:tblPr>
                  <w:tblGrid>
                    <w:gridCol w:w="13792"/>
                  </w:tblGrid>
                  <w:tr w:rsidR="005C5745" w:rsidRPr="005C5745" w14:paraId="795B550A" w14:textId="77777777" w:rsidTr="005C5745">
                    <w:tc>
                      <w:tcPr>
                        <w:tcW w:w="0" w:type="auto"/>
                        <w:tcBorders>
                          <w:top w:val="single" w:sz="6" w:space="0" w:color="000000"/>
                          <w:left w:val="single" w:sz="6" w:space="0" w:color="000000"/>
                          <w:bottom w:val="single" w:sz="6" w:space="0" w:color="000000"/>
                          <w:right w:val="single" w:sz="6" w:space="0" w:color="000000"/>
                        </w:tcBorders>
                        <w:shd w:val="clear" w:color="auto" w:fill="CCFFFF"/>
                        <w:hideMark/>
                      </w:tcPr>
                      <w:p w14:paraId="011485A8" w14:textId="77777777" w:rsidR="005C5745" w:rsidRPr="005C5745" w:rsidRDefault="005C5745" w:rsidP="005C5745">
                        <w:pPr>
                          <w:spacing w:before="45" w:after="45" w:line="240" w:lineRule="auto"/>
                          <w:ind w:left="120"/>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Η </w:t>
                        </w:r>
                        <w:r w:rsidRPr="005C5745">
                          <w:rPr>
                            <w:rFonts w:ascii="Verdana" w:eastAsia="Times New Roman" w:hAnsi="Verdana" w:cs="Times New Roman"/>
                            <w:b/>
                            <w:bCs/>
                            <w:color w:val="000000"/>
                            <w:sz w:val="18"/>
                            <w:szCs w:val="18"/>
                            <w:lang w:val="el-GR" w:eastAsia="en-GB"/>
                          </w:rPr>
                          <w:t>βασική υπόθεση εργασίας</w:t>
                        </w:r>
                        <w:r w:rsidRPr="005C5745">
                          <w:rPr>
                            <w:rFonts w:ascii="Verdana" w:eastAsia="Times New Roman" w:hAnsi="Verdana" w:cs="Times New Roman"/>
                            <w:color w:val="000000"/>
                            <w:sz w:val="18"/>
                            <w:szCs w:val="18"/>
                            <w:lang w:val="el-GR" w:eastAsia="en-GB"/>
                          </w:rPr>
                          <w:t xml:space="preserve"> στην εξεταζόμενη περίπτωση είναι ότι όλα τα μεγέθη κόστους που έχουν προσδιοριστεί θα παραμείνουν σταθερά κατά τη διάρκεια της περιόδου ανάλυσης, δηλαδή δεν λαμβάνεται υπόψη η επίδραση του πληθωρισμού. </w:t>
                        </w:r>
                      </w:p>
                      <w:p w14:paraId="0B582586" w14:textId="77777777" w:rsidR="005C5745" w:rsidRPr="005C5745" w:rsidRDefault="005C5745" w:rsidP="005C5745">
                        <w:pPr>
                          <w:spacing w:before="45" w:after="45" w:line="240" w:lineRule="auto"/>
                          <w:ind w:left="120"/>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8"/>
                            <w:szCs w:val="18"/>
                            <w:lang w:val="el-GR" w:eastAsia="en-GB"/>
                          </w:rPr>
                          <w:t>Σημείωση:</w:t>
                        </w:r>
                        <w:r w:rsidRPr="005C5745">
                          <w:rPr>
                            <w:rFonts w:ascii="Verdana" w:eastAsia="Times New Roman" w:hAnsi="Verdana" w:cs="Times New Roman"/>
                            <w:color w:val="000000"/>
                            <w:sz w:val="18"/>
                            <w:szCs w:val="18"/>
                            <w:lang w:val="el-GR" w:eastAsia="en-GB"/>
                          </w:rPr>
                          <w:t xml:space="preserve"> </w:t>
                        </w:r>
                        <w:r w:rsidRPr="005C5745">
                          <w:rPr>
                            <w:rFonts w:ascii="Verdana" w:eastAsia="Times New Roman" w:hAnsi="Verdana" w:cs="Times New Roman"/>
                            <w:b/>
                            <w:bCs/>
                            <w:i/>
                            <w:iCs/>
                            <w:color w:val="000000"/>
                            <w:sz w:val="18"/>
                            <w:szCs w:val="18"/>
                            <w:lang w:val="el-GR" w:eastAsia="en-GB"/>
                          </w:rPr>
                          <w:t>Οι αξίες των μεγεθών κόστους και των οφελών δεν είναι πραγματικές αγοραίες τιμές αλλά χρησιμοποιούνται για τους σκοπούς της επίδειξης και μόνο.</w:t>
                        </w:r>
                        <w:r w:rsidRPr="005C5745">
                          <w:rPr>
                            <w:rFonts w:ascii="Verdana" w:eastAsia="Times New Roman" w:hAnsi="Verdana" w:cs="Times New Roman"/>
                            <w:b/>
                            <w:bCs/>
                            <w:i/>
                            <w:iCs/>
                            <w:color w:val="000000"/>
                            <w:sz w:val="18"/>
                            <w:szCs w:val="18"/>
                            <w:lang w:eastAsia="en-GB"/>
                          </w:rPr>
                          <w:t> </w:t>
                        </w:r>
                        <w:r w:rsidRPr="005C5745">
                          <w:rPr>
                            <w:rFonts w:ascii="Verdana" w:eastAsia="Times New Roman" w:hAnsi="Verdana" w:cs="Times New Roman"/>
                            <w:b/>
                            <w:bCs/>
                            <w:i/>
                            <w:iCs/>
                            <w:color w:val="000000"/>
                            <w:sz w:val="18"/>
                            <w:szCs w:val="18"/>
                            <w:lang w:val="el-GR" w:eastAsia="en-GB"/>
                          </w:rPr>
                          <w:t xml:space="preserve"> </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p w14:paraId="4FA42E97" w14:textId="77777777" w:rsidR="005C5745" w:rsidRPr="005C5745" w:rsidRDefault="005C5745" w:rsidP="005C5745">
                        <w:pPr>
                          <w:spacing w:before="45" w:after="45" w:line="240" w:lineRule="auto"/>
                          <w:ind w:left="120"/>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Η εκτίμηση για τα μεγέθη κόστους και τα οφέλη που συνδέονται με την </w:t>
                        </w:r>
                        <w:r w:rsidRPr="005C5745">
                          <w:rPr>
                            <w:rFonts w:ascii="Verdana" w:eastAsia="Times New Roman" w:hAnsi="Verdana" w:cs="Times New Roman"/>
                            <w:b/>
                            <w:bCs/>
                            <w:color w:val="000000"/>
                            <w:sz w:val="18"/>
                            <w:szCs w:val="18"/>
                            <w:lang w:val="el-GR" w:eastAsia="en-GB"/>
                          </w:rPr>
                          <w:t>Επιλογή 1</w:t>
                        </w:r>
                        <w:r w:rsidRPr="005C5745">
                          <w:rPr>
                            <w:rFonts w:ascii="Verdana" w:eastAsia="Times New Roman" w:hAnsi="Verdana" w:cs="Times New Roman"/>
                            <w:color w:val="000000"/>
                            <w:sz w:val="18"/>
                            <w:szCs w:val="18"/>
                            <w:lang w:val="el-GR" w:eastAsia="en-GB"/>
                          </w:rPr>
                          <w:t xml:space="preserve"> είναι η εξής:</w:t>
                        </w:r>
                      </w:p>
                      <w:p w14:paraId="689C42F0" w14:textId="77777777" w:rsidR="005C5745" w:rsidRPr="005C5745" w:rsidRDefault="005C5745" w:rsidP="005C5745">
                        <w:pPr>
                          <w:spacing w:before="45" w:after="45" w:line="240" w:lineRule="auto"/>
                          <w:ind w:left="120"/>
                          <w:jc w:val="both"/>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b/>
                            <w:bCs/>
                            <w:i/>
                            <w:iCs/>
                            <w:color w:val="000000"/>
                            <w:sz w:val="18"/>
                            <w:szCs w:val="18"/>
                            <w:u w:val="single"/>
                            <w:lang w:eastAsia="en-GB"/>
                          </w:rPr>
                          <w:t>Κόστος</w:t>
                        </w:r>
                        <w:proofErr w:type="spellEnd"/>
                        <w:r w:rsidRPr="005C5745">
                          <w:rPr>
                            <w:rFonts w:ascii="Verdana" w:eastAsia="Times New Roman" w:hAnsi="Verdana" w:cs="Times New Roman"/>
                            <w:b/>
                            <w:bCs/>
                            <w:i/>
                            <w:iCs/>
                            <w:color w:val="000000"/>
                            <w:sz w:val="18"/>
                            <w:szCs w:val="18"/>
                            <w:lang w:eastAsia="en-GB"/>
                          </w:rPr>
                          <w:t xml:space="preserve"> </w:t>
                        </w:r>
                      </w:p>
                      <w:tbl>
                        <w:tblPr>
                          <w:tblW w:w="0" w:type="auto"/>
                          <w:tblCellSpacing w:w="0" w:type="dxa"/>
                          <w:tblCellMar>
                            <w:left w:w="0" w:type="dxa"/>
                            <w:right w:w="0" w:type="dxa"/>
                          </w:tblCellMar>
                          <w:tblLook w:val="04A0" w:firstRow="1" w:lastRow="0" w:firstColumn="1" w:lastColumn="0" w:noHBand="0" w:noVBand="1"/>
                        </w:tblPr>
                        <w:tblGrid>
                          <w:gridCol w:w="195"/>
                          <w:gridCol w:w="7530"/>
                        </w:tblGrid>
                        <w:tr w:rsidR="005C5745" w:rsidRPr="005C5745" w14:paraId="7C34BD64" w14:textId="77777777" w:rsidTr="005C5745">
                          <w:trPr>
                            <w:tblCellSpacing w:w="0" w:type="dxa"/>
                          </w:trPr>
                          <w:tc>
                            <w:tcPr>
                              <w:tcW w:w="195" w:type="dxa"/>
                              <w:vAlign w:val="bottom"/>
                              <w:hideMark/>
                            </w:tcPr>
                            <w:p w14:paraId="4DC0DEE2"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7B335AF1"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Κόστος ανακαίνισης (π.χ. ελαιοχρωματισμός, τοποθέτηση σήμανσης κλπ.): €60.000</w:t>
                              </w:r>
                            </w:p>
                          </w:tc>
                        </w:tr>
                        <w:tr w:rsidR="005C5745" w:rsidRPr="005C5745" w14:paraId="021E0459" w14:textId="77777777">
                          <w:trPr>
                            <w:tblCellSpacing w:w="0" w:type="dxa"/>
                          </w:trPr>
                          <w:tc>
                            <w:tcPr>
                              <w:tcW w:w="195" w:type="dxa"/>
                              <w:vAlign w:val="bottom"/>
                              <w:hideMark/>
                            </w:tcPr>
                            <w:p w14:paraId="0E52B0A0"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154E9104"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Κόστος αναβάθμισης του υφιστάμενου συστήματος πυρόσβεσης: €80.000 </w:t>
                              </w:r>
                            </w:p>
                          </w:tc>
                        </w:tr>
                      </w:tbl>
                      <w:p w14:paraId="54997F28"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8460"/>
                        </w:tblGrid>
                        <w:tr w:rsidR="005C5745" w:rsidRPr="005C5745" w14:paraId="0BE38498" w14:textId="77777777" w:rsidTr="005C5745">
                          <w:trPr>
                            <w:tblCellSpacing w:w="0" w:type="dxa"/>
                          </w:trPr>
                          <w:tc>
                            <w:tcPr>
                              <w:tcW w:w="195" w:type="dxa"/>
                              <w:vAlign w:val="bottom"/>
                              <w:hideMark/>
                            </w:tcPr>
                            <w:p w14:paraId="1FAFFD8C"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3D9EB070"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Κόστος Ανθρωπίνων Πόρων (μισθοί, επιδόματα &amp; παροχές, άλλα έξοδα): €124.000 (ανά έτος)</w:t>
                              </w:r>
                            </w:p>
                          </w:tc>
                        </w:tr>
                        <w:tr w:rsidR="005C5745" w:rsidRPr="005C5745" w14:paraId="0FEB4A87" w14:textId="77777777">
                          <w:trPr>
                            <w:tblCellSpacing w:w="0" w:type="dxa"/>
                          </w:trPr>
                          <w:tc>
                            <w:tcPr>
                              <w:tcW w:w="195" w:type="dxa"/>
                              <w:vAlign w:val="bottom"/>
                              <w:hideMark/>
                            </w:tcPr>
                            <w:p w14:paraId="32626EC5"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05405436"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Κόστος χρηματοδοτικής μίσθωσης εξοπλισμού: €5.000 (ανά έτος)</w:t>
                              </w:r>
                            </w:p>
                          </w:tc>
                        </w:tr>
                      </w:tbl>
                      <w:p w14:paraId="5096C547"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6671"/>
                        </w:tblGrid>
                        <w:tr w:rsidR="005C5745" w:rsidRPr="005C5745" w14:paraId="66EF37C8" w14:textId="77777777" w:rsidTr="005C5745">
                          <w:trPr>
                            <w:tblCellSpacing w:w="0" w:type="dxa"/>
                          </w:trPr>
                          <w:tc>
                            <w:tcPr>
                              <w:tcW w:w="195" w:type="dxa"/>
                              <w:vAlign w:val="bottom"/>
                              <w:hideMark/>
                            </w:tcPr>
                            <w:p w14:paraId="431B2363"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03296AB4"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Κόστος χρήσης δικτύων ΟΚΩ (ηλεκτρικό ρεύμα, νερό): €4.000 (ανά έτος)</w:t>
                              </w:r>
                            </w:p>
                          </w:tc>
                        </w:tr>
                        <w:tr w:rsidR="005C5745" w:rsidRPr="005C5745" w14:paraId="4A5C565D" w14:textId="77777777">
                          <w:trPr>
                            <w:tblCellSpacing w:w="0" w:type="dxa"/>
                          </w:trPr>
                          <w:tc>
                            <w:tcPr>
                              <w:tcW w:w="195" w:type="dxa"/>
                              <w:vAlign w:val="bottom"/>
                              <w:hideMark/>
                            </w:tcPr>
                            <w:p w14:paraId="023BDCF0"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4D978F2B"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color w:val="000000"/>
                                  <w:sz w:val="18"/>
                                  <w:szCs w:val="18"/>
                                  <w:lang w:eastAsia="en-GB"/>
                                </w:rPr>
                                <w:t>Κόστος</w:t>
                              </w:r>
                              <w:proofErr w:type="spellEnd"/>
                              <w:r w:rsidRPr="005C5745">
                                <w:rPr>
                                  <w:rFonts w:ascii="Verdana" w:eastAsia="Times New Roman" w:hAnsi="Verdana" w:cs="Times New Roman"/>
                                  <w:color w:val="000000"/>
                                  <w:sz w:val="18"/>
                                  <w:szCs w:val="18"/>
                                  <w:lang w:eastAsia="en-GB"/>
                                </w:rPr>
                                <w:t xml:space="preserve"> </w:t>
                              </w:r>
                              <w:proofErr w:type="spellStart"/>
                              <w:r w:rsidRPr="005C5745">
                                <w:rPr>
                                  <w:rFonts w:ascii="Verdana" w:eastAsia="Times New Roman" w:hAnsi="Verdana" w:cs="Times New Roman"/>
                                  <w:color w:val="000000"/>
                                  <w:sz w:val="18"/>
                                  <w:szCs w:val="18"/>
                                  <w:lang w:eastAsia="en-GB"/>
                                </w:rPr>
                                <w:t>τηλε</w:t>
                              </w:r>
                              <w:proofErr w:type="spellEnd"/>
                              <w:r w:rsidRPr="005C5745">
                                <w:rPr>
                                  <w:rFonts w:ascii="Verdana" w:eastAsia="Times New Roman" w:hAnsi="Verdana" w:cs="Times New Roman"/>
                                  <w:color w:val="000000"/>
                                  <w:sz w:val="18"/>
                                  <w:szCs w:val="18"/>
                                  <w:lang w:eastAsia="en-GB"/>
                                </w:rPr>
                                <w:t>πικοινωνιών: €1.800 (α</w:t>
                              </w:r>
                              <w:proofErr w:type="spellStart"/>
                              <w:r w:rsidRPr="005C5745">
                                <w:rPr>
                                  <w:rFonts w:ascii="Verdana" w:eastAsia="Times New Roman" w:hAnsi="Verdana" w:cs="Times New Roman"/>
                                  <w:color w:val="000000"/>
                                  <w:sz w:val="18"/>
                                  <w:szCs w:val="18"/>
                                  <w:lang w:eastAsia="en-GB"/>
                                </w:rPr>
                                <w:t>νά</w:t>
                              </w:r>
                              <w:proofErr w:type="spellEnd"/>
                              <w:r w:rsidRPr="005C5745">
                                <w:rPr>
                                  <w:rFonts w:ascii="Verdana" w:eastAsia="Times New Roman" w:hAnsi="Verdana" w:cs="Times New Roman"/>
                                  <w:color w:val="000000"/>
                                  <w:sz w:val="18"/>
                                  <w:szCs w:val="18"/>
                                  <w:lang w:eastAsia="en-GB"/>
                                </w:rPr>
                                <w:t xml:space="preserve"> </w:t>
                              </w:r>
                              <w:proofErr w:type="spellStart"/>
                              <w:r w:rsidRPr="005C5745">
                                <w:rPr>
                                  <w:rFonts w:ascii="Verdana" w:eastAsia="Times New Roman" w:hAnsi="Verdana" w:cs="Times New Roman"/>
                                  <w:color w:val="000000"/>
                                  <w:sz w:val="18"/>
                                  <w:szCs w:val="18"/>
                                  <w:lang w:eastAsia="en-GB"/>
                                </w:rPr>
                                <w:t>έτος</w:t>
                              </w:r>
                              <w:proofErr w:type="spellEnd"/>
                              <w:r w:rsidRPr="005C5745">
                                <w:rPr>
                                  <w:rFonts w:ascii="Verdana" w:eastAsia="Times New Roman" w:hAnsi="Verdana" w:cs="Times New Roman"/>
                                  <w:color w:val="000000"/>
                                  <w:sz w:val="18"/>
                                  <w:szCs w:val="18"/>
                                  <w:lang w:eastAsia="en-GB"/>
                                </w:rPr>
                                <w:t>)</w:t>
                              </w:r>
                            </w:p>
                          </w:tc>
                        </w:tr>
                      </w:tbl>
                      <w:p w14:paraId="536A1449"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3442"/>
                        </w:tblGrid>
                        <w:tr w:rsidR="005C5745" w:rsidRPr="005C5745" w14:paraId="437553FE" w14:textId="77777777" w:rsidTr="005C5745">
                          <w:trPr>
                            <w:tblCellSpacing w:w="0" w:type="dxa"/>
                          </w:trPr>
                          <w:tc>
                            <w:tcPr>
                              <w:tcW w:w="195" w:type="dxa"/>
                              <w:vAlign w:val="bottom"/>
                              <w:hideMark/>
                            </w:tcPr>
                            <w:p w14:paraId="279920F1"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38919106"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color w:val="000000"/>
                                  <w:sz w:val="18"/>
                                  <w:szCs w:val="18"/>
                                  <w:lang w:eastAsia="en-GB"/>
                                </w:rPr>
                                <w:t>Κόστος</w:t>
                              </w:r>
                              <w:proofErr w:type="spellEnd"/>
                              <w:r w:rsidRPr="005C5745">
                                <w:rPr>
                                  <w:rFonts w:ascii="Verdana" w:eastAsia="Times New Roman" w:hAnsi="Verdana" w:cs="Times New Roman"/>
                                  <w:color w:val="000000"/>
                                  <w:sz w:val="18"/>
                                  <w:szCs w:val="18"/>
                                  <w:lang w:eastAsia="en-GB"/>
                                </w:rPr>
                                <w:t xml:space="preserve"> α</w:t>
                              </w:r>
                              <w:proofErr w:type="spellStart"/>
                              <w:r w:rsidRPr="005C5745">
                                <w:rPr>
                                  <w:rFonts w:ascii="Verdana" w:eastAsia="Times New Roman" w:hAnsi="Verdana" w:cs="Times New Roman"/>
                                  <w:color w:val="000000"/>
                                  <w:sz w:val="18"/>
                                  <w:szCs w:val="18"/>
                                  <w:lang w:eastAsia="en-GB"/>
                                </w:rPr>
                                <w:t>σφάλισης</w:t>
                              </w:r>
                              <w:proofErr w:type="spellEnd"/>
                              <w:r w:rsidRPr="005C5745">
                                <w:rPr>
                                  <w:rFonts w:ascii="Verdana" w:eastAsia="Times New Roman" w:hAnsi="Verdana" w:cs="Times New Roman"/>
                                  <w:color w:val="000000"/>
                                  <w:sz w:val="18"/>
                                  <w:szCs w:val="18"/>
                                  <w:lang w:eastAsia="en-GB"/>
                                </w:rPr>
                                <w:t>: €1.000 (α</w:t>
                              </w:r>
                              <w:proofErr w:type="spellStart"/>
                              <w:r w:rsidRPr="005C5745">
                                <w:rPr>
                                  <w:rFonts w:ascii="Verdana" w:eastAsia="Times New Roman" w:hAnsi="Verdana" w:cs="Times New Roman"/>
                                  <w:color w:val="000000"/>
                                  <w:sz w:val="18"/>
                                  <w:szCs w:val="18"/>
                                  <w:lang w:eastAsia="en-GB"/>
                                </w:rPr>
                                <w:t>νά</w:t>
                              </w:r>
                              <w:proofErr w:type="spellEnd"/>
                              <w:r w:rsidRPr="005C5745">
                                <w:rPr>
                                  <w:rFonts w:ascii="Verdana" w:eastAsia="Times New Roman" w:hAnsi="Verdana" w:cs="Times New Roman"/>
                                  <w:color w:val="000000"/>
                                  <w:sz w:val="18"/>
                                  <w:szCs w:val="18"/>
                                  <w:lang w:eastAsia="en-GB"/>
                                </w:rPr>
                                <w:t xml:space="preserve"> </w:t>
                              </w:r>
                              <w:proofErr w:type="spellStart"/>
                              <w:r w:rsidRPr="005C5745">
                                <w:rPr>
                                  <w:rFonts w:ascii="Verdana" w:eastAsia="Times New Roman" w:hAnsi="Verdana" w:cs="Times New Roman"/>
                                  <w:color w:val="000000"/>
                                  <w:sz w:val="18"/>
                                  <w:szCs w:val="18"/>
                                  <w:lang w:eastAsia="en-GB"/>
                                </w:rPr>
                                <w:t>έτος</w:t>
                              </w:r>
                              <w:proofErr w:type="spellEnd"/>
                              <w:r w:rsidRPr="005C5745">
                                <w:rPr>
                                  <w:rFonts w:ascii="Verdana" w:eastAsia="Times New Roman" w:hAnsi="Verdana" w:cs="Times New Roman"/>
                                  <w:color w:val="000000"/>
                                  <w:sz w:val="18"/>
                                  <w:szCs w:val="18"/>
                                  <w:lang w:eastAsia="en-GB"/>
                                </w:rPr>
                                <w:t>)</w:t>
                              </w:r>
                            </w:p>
                          </w:tc>
                        </w:tr>
                        <w:tr w:rsidR="005C5745" w:rsidRPr="005C5745" w14:paraId="2E32A0FA" w14:textId="77777777">
                          <w:trPr>
                            <w:tblCellSpacing w:w="0" w:type="dxa"/>
                          </w:trPr>
                          <w:tc>
                            <w:tcPr>
                              <w:tcW w:w="195" w:type="dxa"/>
                              <w:vAlign w:val="bottom"/>
                              <w:hideMark/>
                            </w:tcPr>
                            <w:p w14:paraId="072415B0"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0E60AF52"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color w:val="000000"/>
                                  <w:sz w:val="18"/>
                                  <w:szCs w:val="18"/>
                                  <w:lang w:eastAsia="en-GB"/>
                                </w:rPr>
                                <w:t>Κρ</w:t>
                              </w:r>
                              <w:proofErr w:type="spellEnd"/>
                              <w:r w:rsidRPr="005C5745">
                                <w:rPr>
                                  <w:rFonts w:ascii="Verdana" w:eastAsia="Times New Roman" w:hAnsi="Verdana" w:cs="Times New Roman"/>
                                  <w:color w:val="000000"/>
                                  <w:sz w:val="18"/>
                                  <w:szCs w:val="18"/>
                                  <w:lang w:eastAsia="en-GB"/>
                                </w:rPr>
                                <w:t xml:space="preserve">ατικοί </w:t>
                              </w:r>
                              <w:proofErr w:type="spellStart"/>
                              <w:r w:rsidRPr="005C5745">
                                <w:rPr>
                                  <w:rFonts w:ascii="Verdana" w:eastAsia="Times New Roman" w:hAnsi="Verdana" w:cs="Times New Roman"/>
                                  <w:color w:val="000000"/>
                                  <w:sz w:val="18"/>
                                  <w:szCs w:val="18"/>
                                  <w:lang w:eastAsia="en-GB"/>
                                </w:rPr>
                                <w:t>Φόροι</w:t>
                              </w:r>
                              <w:proofErr w:type="spellEnd"/>
                              <w:r w:rsidRPr="005C5745">
                                <w:rPr>
                                  <w:rFonts w:ascii="Verdana" w:eastAsia="Times New Roman" w:hAnsi="Verdana" w:cs="Times New Roman"/>
                                  <w:color w:val="000000"/>
                                  <w:sz w:val="18"/>
                                  <w:szCs w:val="18"/>
                                  <w:lang w:eastAsia="en-GB"/>
                                </w:rPr>
                                <w:t>: €500 (α</w:t>
                              </w:r>
                              <w:proofErr w:type="spellStart"/>
                              <w:r w:rsidRPr="005C5745">
                                <w:rPr>
                                  <w:rFonts w:ascii="Verdana" w:eastAsia="Times New Roman" w:hAnsi="Verdana" w:cs="Times New Roman"/>
                                  <w:color w:val="000000"/>
                                  <w:sz w:val="18"/>
                                  <w:szCs w:val="18"/>
                                  <w:lang w:eastAsia="en-GB"/>
                                </w:rPr>
                                <w:t>νά</w:t>
                              </w:r>
                              <w:proofErr w:type="spellEnd"/>
                              <w:r w:rsidRPr="005C5745">
                                <w:rPr>
                                  <w:rFonts w:ascii="Verdana" w:eastAsia="Times New Roman" w:hAnsi="Verdana" w:cs="Times New Roman"/>
                                  <w:color w:val="000000"/>
                                  <w:sz w:val="18"/>
                                  <w:szCs w:val="18"/>
                                  <w:lang w:eastAsia="en-GB"/>
                                </w:rPr>
                                <w:t xml:space="preserve"> </w:t>
                              </w:r>
                              <w:proofErr w:type="spellStart"/>
                              <w:r w:rsidRPr="005C5745">
                                <w:rPr>
                                  <w:rFonts w:ascii="Verdana" w:eastAsia="Times New Roman" w:hAnsi="Verdana" w:cs="Times New Roman"/>
                                  <w:color w:val="000000"/>
                                  <w:sz w:val="18"/>
                                  <w:szCs w:val="18"/>
                                  <w:lang w:eastAsia="en-GB"/>
                                </w:rPr>
                                <w:t>έτος</w:t>
                              </w:r>
                              <w:proofErr w:type="spellEnd"/>
                              <w:r w:rsidRPr="005C5745">
                                <w:rPr>
                                  <w:rFonts w:ascii="Verdana" w:eastAsia="Times New Roman" w:hAnsi="Verdana" w:cs="Times New Roman"/>
                                  <w:color w:val="000000"/>
                                  <w:sz w:val="18"/>
                                  <w:szCs w:val="18"/>
                                  <w:lang w:eastAsia="en-GB"/>
                                </w:rPr>
                                <w:t>)</w:t>
                              </w:r>
                            </w:p>
                          </w:tc>
                        </w:tr>
                      </w:tbl>
                      <w:p w14:paraId="67565589"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4680"/>
                        </w:tblGrid>
                        <w:tr w:rsidR="005C5745" w:rsidRPr="005C5745" w14:paraId="00430D94" w14:textId="77777777" w:rsidTr="005C5745">
                          <w:trPr>
                            <w:tblCellSpacing w:w="0" w:type="dxa"/>
                          </w:trPr>
                          <w:tc>
                            <w:tcPr>
                              <w:tcW w:w="195" w:type="dxa"/>
                              <w:vAlign w:val="bottom"/>
                              <w:hideMark/>
                            </w:tcPr>
                            <w:p w14:paraId="761C43E1"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35650A25"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Κόστος αναλώσιμων υλικών: €1.000 (ανά έτος)</w:t>
                              </w:r>
                            </w:p>
                          </w:tc>
                        </w:tr>
                        <w:tr w:rsidR="005C5745" w:rsidRPr="005C5745" w14:paraId="2A8EFF6D" w14:textId="77777777">
                          <w:trPr>
                            <w:tblCellSpacing w:w="0" w:type="dxa"/>
                          </w:trPr>
                          <w:tc>
                            <w:tcPr>
                              <w:tcW w:w="195" w:type="dxa"/>
                              <w:vAlign w:val="bottom"/>
                              <w:hideMark/>
                            </w:tcPr>
                            <w:p w14:paraId="276C9BF7"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0CA82B3A"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Κόστος αδειών χρήσης λογισμικού: €500 (ανά έτος)</w:t>
                              </w:r>
                            </w:p>
                          </w:tc>
                        </w:tr>
                      </w:tbl>
                      <w:p w14:paraId="4AE9CAA5"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4509"/>
                        </w:tblGrid>
                        <w:tr w:rsidR="005C5745" w:rsidRPr="005C5745" w14:paraId="547542B3" w14:textId="77777777" w:rsidTr="005C5745">
                          <w:trPr>
                            <w:tblCellSpacing w:w="0" w:type="dxa"/>
                          </w:trPr>
                          <w:tc>
                            <w:tcPr>
                              <w:tcW w:w="195" w:type="dxa"/>
                              <w:vAlign w:val="bottom"/>
                              <w:hideMark/>
                            </w:tcPr>
                            <w:p w14:paraId="060FF1D0"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2CBC722F"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color w:val="000000"/>
                                  <w:sz w:val="18"/>
                                  <w:szCs w:val="18"/>
                                  <w:lang w:eastAsia="en-GB"/>
                                </w:rPr>
                                <w:t>Διάφορ</w:t>
                              </w:r>
                              <w:proofErr w:type="spellEnd"/>
                              <w:r w:rsidRPr="005C5745">
                                <w:rPr>
                                  <w:rFonts w:ascii="Verdana" w:eastAsia="Times New Roman" w:hAnsi="Verdana" w:cs="Times New Roman"/>
                                  <w:color w:val="000000"/>
                                  <w:sz w:val="18"/>
                                  <w:szCs w:val="18"/>
                                  <w:lang w:eastAsia="en-GB"/>
                                </w:rPr>
                                <w:t xml:space="preserve">α </w:t>
                              </w:r>
                              <w:proofErr w:type="spellStart"/>
                              <w:r w:rsidRPr="005C5745">
                                <w:rPr>
                                  <w:rFonts w:ascii="Verdana" w:eastAsia="Times New Roman" w:hAnsi="Verdana" w:cs="Times New Roman"/>
                                  <w:color w:val="000000"/>
                                  <w:sz w:val="18"/>
                                  <w:szCs w:val="18"/>
                                  <w:lang w:eastAsia="en-GB"/>
                                </w:rPr>
                                <w:t>έξοδ</w:t>
                              </w:r>
                              <w:proofErr w:type="spellEnd"/>
                              <w:r w:rsidRPr="005C5745">
                                <w:rPr>
                                  <w:rFonts w:ascii="Verdana" w:eastAsia="Times New Roman" w:hAnsi="Verdana" w:cs="Times New Roman"/>
                                  <w:color w:val="000000"/>
                                  <w:sz w:val="18"/>
                                  <w:szCs w:val="18"/>
                                  <w:lang w:eastAsia="en-GB"/>
                                </w:rPr>
                                <w:t>α: €2.000 (α</w:t>
                              </w:r>
                              <w:proofErr w:type="spellStart"/>
                              <w:r w:rsidRPr="005C5745">
                                <w:rPr>
                                  <w:rFonts w:ascii="Verdana" w:eastAsia="Times New Roman" w:hAnsi="Verdana" w:cs="Times New Roman"/>
                                  <w:color w:val="000000"/>
                                  <w:sz w:val="18"/>
                                  <w:szCs w:val="18"/>
                                  <w:lang w:eastAsia="en-GB"/>
                                </w:rPr>
                                <w:t>νά</w:t>
                              </w:r>
                              <w:proofErr w:type="spellEnd"/>
                              <w:r w:rsidRPr="005C5745">
                                <w:rPr>
                                  <w:rFonts w:ascii="Verdana" w:eastAsia="Times New Roman" w:hAnsi="Verdana" w:cs="Times New Roman"/>
                                  <w:color w:val="000000"/>
                                  <w:sz w:val="18"/>
                                  <w:szCs w:val="18"/>
                                  <w:lang w:eastAsia="en-GB"/>
                                </w:rPr>
                                <w:t xml:space="preserve"> </w:t>
                              </w:r>
                              <w:proofErr w:type="spellStart"/>
                              <w:r w:rsidRPr="005C5745">
                                <w:rPr>
                                  <w:rFonts w:ascii="Verdana" w:eastAsia="Times New Roman" w:hAnsi="Verdana" w:cs="Times New Roman"/>
                                  <w:color w:val="000000"/>
                                  <w:sz w:val="18"/>
                                  <w:szCs w:val="18"/>
                                  <w:lang w:eastAsia="en-GB"/>
                                </w:rPr>
                                <w:t>έτος</w:t>
                              </w:r>
                              <w:proofErr w:type="spellEnd"/>
                              <w:r w:rsidRPr="005C5745">
                                <w:rPr>
                                  <w:rFonts w:ascii="Verdana" w:eastAsia="Times New Roman" w:hAnsi="Verdana" w:cs="Times New Roman"/>
                                  <w:color w:val="000000"/>
                                  <w:sz w:val="18"/>
                                  <w:szCs w:val="18"/>
                                  <w:lang w:eastAsia="en-GB"/>
                                </w:rPr>
                                <w:t>)</w:t>
                              </w:r>
                            </w:p>
                          </w:tc>
                        </w:tr>
                        <w:tr w:rsidR="005C5745" w:rsidRPr="005C5745" w14:paraId="0B658520" w14:textId="77777777">
                          <w:trPr>
                            <w:tblCellSpacing w:w="0" w:type="dxa"/>
                          </w:trPr>
                          <w:tc>
                            <w:tcPr>
                              <w:tcW w:w="195" w:type="dxa"/>
                              <w:vAlign w:val="bottom"/>
                              <w:hideMark/>
                            </w:tcPr>
                            <w:p w14:paraId="318CADC3"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7CF2D86B"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Κόστος συντήρησης υποδομής: €2.000 (ανά έτος)</w:t>
                              </w:r>
                            </w:p>
                          </w:tc>
                        </w:tr>
                      </w:tbl>
                      <w:p w14:paraId="50B0C0AA" w14:textId="77777777" w:rsidR="005C5745" w:rsidRPr="005C5745" w:rsidRDefault="005C5745" w:rsidP="005C5745">
                        <w:pPr>
                          <w:spacing w:before="45" w:after="45" w:line="240" w:lineRule="auto"/>
                          <w:ind w:left="120"/>
                          <w:jc w:val="both"/>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b/>
                            <w:bCs/>
                            <w:i/>
                            <w:iCs/>
                            <w:color w:val="000000"/>
                            <w:sz w:val="18"/>
                            <w:szCs w:val="18"/>
                            <w:u w:val="single"/>
                            <w:lang w:eastAsia="en-GB"/>
                          </w:rPr>
                          <w:t>Οφέλη</w:t>
                        </w:r>
                        <w:proofErr w:type="spellEnd"/>
                      </w:p>
                      <w:tbl>
                        <w:tblPr>
                          <w:tblW w:w="0" w:type="auto"/>
                          <w:tblCellSpacing w:w="0" w:type="dxa"/>
                          <w:tblCellMar>
                            <w:left w:w="0" w:type="dxa"/>
                            <w:right w:w="0" w:type="dxa"/>
                          </w:tblCellMar>
                          <w:tblLook w:val="04A0" w:firstRow="1" w:lastRow="0" w:firstColumn="1" w:lastColumn="0" w:noHBand="0" w:noVBand="1"/>
                        </w:tblPr>
                        <w:tblGrid>
                          <w:gridCol w:w="195"/>
                          <w:gridCol w:w="9801"/>
                        </w:tblGrid>
                        <w:tr w:rsidR="005C5745" w:rsidRPr="005C5745" w14:paraId="223B1257" w14:textId="77777777" w:rsidTr="005C5745">
                          <w:trPr>
                            <w:tblCellSpacing w:w="0" w:type="dxa"/>
                          </w:trPr>
                          <w:tc>
                            <w:tcPr>
                              <w:tcW w:w="195" w:type="dxa"/>
                              <w:vAlign w:val="bottom"/>
                              <w:hideMark/>
                            </w:tcPr>
                            <w:p w14:paraId="27DC21C3"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4307EDD0"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Έσοδα από τα τέλη στάθμευσης: €3/αυτοκίνητο </w:t>
                              </w:r>
                              <w:r w:rsidRPr="005C5745">
                                <w:rPr>
                                  <w:rFonts w:ascii="Verdana" w:eastAsia="Times New Roman" w:hAnsi="Verdana" w:cs="Times New Roman"/>
                                  <w:color w:val="000000"/>
                                  <w:sz w:val="18"/>
                                  <w:szCs w:val="18"/>
                                  <w:lang w:eastAsia="en-GB"/>
                                </w:rPr>
                                <w:t>x</w:t>
                              </w:r>
                              <w:r w:rsidRPr="005C5745">
                                <w:rPr>
                                  <w:rFonts w:ascii="Verdana" w:eastAsia="Times New Roman" w:hAnsi="Verdana" w:cs="Times New Roman"/>
                                  <w:color w:val="000000"/>
                                  <w:sz w:val="18"/>
                                  <w:szCs w:val="18"/>
                                  <w:lang w:val="el-GR" w:eastAsia="en-GB"/>
                                </w:rPr>
                                <w:t xml:space="preserve"> 150 αυτοκίνητα </w:t>
                              </w:r>
                              <w:r w:rsidRPr="005C5745">
                                <w:rPr>
                                  <w:rFonts w:ascii="Verdana" w:eastAsia="Times New Roman" w:hAnsi="Verdana" w:cs="Times New Roman"/>
                                  <w:color w:val="000000"/>
                                  <w:sz w:val="18"/>
                                  <w:szCs w:val="18"/>
                                  <w:lang w:eastAsia="en-GB"/>
                                </w:rPr>
                                <w:t>x</w:t>
                              </w:r>
                              <w:r w:rsidRPr="005C5745">
                                <w:rPr>
                                  <w:rFonts w:ascii="Verdana" w:eastAsia="Times New Roman" w:hAnsi="Verdana" w:cs="Times New Roman"/>
                                  <w:color w:val="000000"/>
                                  <w:sz w:val="18"/>
                                  <w:szCs w:val="18"/>
                                  <w:lang w:val="el-GR" w:eastAsia="en-GB"/>
                                </w:rPr>
                                <w:t xml:space="preserve"> 365 ημέρες/έτος = €164.250 (ανά έτος)</w:t>
                              </w:r>
                            </w:p>
                          </w:tc>
                        </w:tr>
                      </w:tbl>
                      <w:p w14:paraId="4F3B5BE9" w14:textId="77777777" w:rsidR="005C5745" w:rsidRPr="005C5745" w:rsidRDefault="005C5745" w:rsidP="005C5745">
                        <w:pPr>
                          <w:spacing w:before="45" w:after="45" w:line="240" w:lineRule="auto"/>
                          <w:ind w:left="120"/>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Η εκτίμηση για τα μεγέθη κόστους και τα οφέλη που συνδέονται με την </w:t>
                        </w:r>
                        <w:r w:rsidRPr="005C5745">
                          <w:rPr>
                            <w:rFonts w:ascii="Verdana" w:eastAsia="Times New Roman" w:hAnsi="Verdana" w:cs="Times New Roman"/>
                            <w:b/>
                            <w:bCs/>
                            <w:color w:val="000000"/>
                            <w:sz w:val="18"/>
                            <w:szCs w:val="18"/>
                            <w:lang w:val="el-GR" w:eastAsia="en-GB"/>
                          </w:rPr>
                          <w:t>Επιλογή 2</w:t>
                        </w:r>
                        <w:r w:rsidRPr="005C5745">
                          <w:rPr>
                            <w:rFonts w:ascii="Verdana" w:eastAsia="Times New Roman" w:hAnsi="Verdana" w:cs="Times New Roman"/>
                            <w:color w:val="000000"/>
                            <w:sz w:val="18"/>
                            <w:szCs w:val="18"/>
                            <w:lang w:val="el-GR" w:eastAsia="en-GB"/>
                          </w:rPr>
                          <w:t xml:space="preserve"> είναι η εξής:</w:t>
                        </w:r>
                      </w:p>
                      <w:p w14:paraId="3341DE59" w14:textId="77777777" w:rsidR="005C5745" w:rsidRPr="005C5745" w:rsidRDefault="005C5745" w:rsidP="005C5745">
                        <w:pPr>
                          <w:spacing w:before="45" w:after="45" w:line="240" w:lineRule="auto"/>
                          <w:ind w:left="120"/>
                          <w:jc w:val="both"/>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b/>
                            <w:bCs/>
                            <w:i/>
                            <w:iCs/>
                            <w:color w:val="000000"/>
                            <w:sz w:val="18"/>
                            <w:szCs w:val="18"/>
                            <w:u w:val="single"/>
                            <w:lang w:eastAsia="en-GB"/>
                          </w:rPr>
                          <w:t>Κόστος</w:t>
                        </w:r>
                        <w:proofErr w:type="spellEnd"/>
                        <w:r w:rsidRPr="005C5745">
                          <w:rPr>
                            <w:rFonts w:ascii="Verdana" w:eastAsia="Times New Roman" w:hAnsi="Verdana" w:cs="Times New Roman"/>
                            <w:b/>
                            <w:bCs/>
                            <w:i/>
                            <w:iCs/>
                            <w:color w:val="000000"/>
                            <w:sz w:val="18"/>
                            <w:szCs w:val="18"/>
                            <w:lang w:eastAsia="en-GB"/>
                          </w:rPr>
                          <w:t xml:space="preserve"> </w:t>
                        </w:r>
                      </w:p>
                      <w:tbl>
                        <w:tblPr>
                          <w:tblW w:w="0" w:type="auto"/>
                          <w:tblCellSpacing w:w="0" w:type="dxa"/>
                          <w:tblCellMar>
                            <w:left w:w="0" w:type="dxa"/>
                            <w:right w:w="0" w:type="dxa"/>
                          </w:tblCellMar>
                          <w:tblLook w:val="04A0" w:firstRow="1" w:lastRow="0" w:firstColumn="1" w:lastColumn="0" w:noHBand="0" w:noVBand="1"/>
                        </w:tblPr>
                        <w:tblGrid>
                          <w:gridCol w:w="195"/>
                          <w:gridCol w:w="8460"/>
                        </w:tblGrid>
                        <w:tr w:rsidR="005C5745" w:rsidRPr="005C5745" w14:paraId="411CAA6D" w14:textId="77777777" w:rsidTr="005C5745">
                          <w:trPr>
                            <w:tblCellSpacing w:w="0" w:type="dxa"/>
                          </w:trPr>
                          <w:tc>
                            <w:tcPr>
                              <w:tcW w:w="195" w:type="dxa"/>
                              <w:vAlign w:val="bottom"/>
                              <w:hideMark/>
                            </w:tcPr>
                            <w:p w14:paraId="00FBDAF8"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590C1F61"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Κόστος αναβάθμισης και επέκτασης χώρου στάθμευσης: €1.000.000</w:t>
                              </w:r>
                            </w:p>
                          </w:tc>
                        </w:tr>
                        <w:tr w:rsidR="005C5745" w:rsidRPr="005C5745" w14:paraId="77578F05" w14:textId="77777777">
                          <w:trPr>
                            <w:tblCellSpacing w:w="0" w:type="dxa"/>
                          </w:trPr>
                          <w:tc>
                            <w:tcPr>
                              <w:tcW w:w="195" w:type="dxa"/>
                              <w:vAlign w:val="bottom"/>
                              <w:hideMark/>
                            </w:tcPr>
                            <w:p w14:paraId="03C2E2E8"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66878072"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Κόστος Ανθρωπίνων Πόρων (μισθοί, επιδόματα &amp; παροχές, άλλα έξοδα): €185.000 (ανά έτος)</w:t>
                              </w:r>
                            </w:p>
                          </w:tc>
                        </w:tr>
                      </w:tbl>
                      <w:p w14:paraId="7516AB73"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6671"/>
                        </w:tblGrid>
                        <w:tr w:rsidR="005C5745" w:rsidRPr="005C5745" w14:paraId="340DB1E0" w14:textId="77777777" w:rsidTr="005C5745">
                          <w:trPr>
                            <w:tblCellSpacing w:w="0" w:type="dxa"/>
                          </w:trPr>
                          <w:tc>
                            <w:tcPr>
                              <w:tcW w:w="195" w:type="dxa"/>
                              <w:vAlign w:val="bottom"/>
                              <w:hideMark/>
                            </w:tcPr>
                            <w:p w14:paraId="01BC45B4"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2ECAC5A9"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Κόστος χρηματοδοτικής μίσθωσης εξοπλισμού: €8.000 (ανά έτος)</w:t>
                              </w:r>
                            </w:p>
                          </w:tc>
                        </w:tr>
                        <w:tr w:rsidR="005C5745" w:rsidRPr="005C5745" w14:paraId="50C61DC0" w14:textId="77777777">
                          <w:trPr>
                            <w:tblCellSpacing w:w="0" w:type="dxa"/>
                          </w:trPr>
                          <w:tc>
                            <w:tcPr>
                              <w:tcW w:w="195" w:type="dxa"/>
                              <w:vAlign w:val="bottom"/>
                              <w:hideMark/>
                            </w:tcPr>
                            <w:p w14:paraId="0C6DA1D0"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64E56E52"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Κόστος χρήσης δικτύων ΟΚΩ (ηλεκτρικό ρεύμα, νερό): €6.000 (ανά έτος)</w:t>
                              </w:r>
                            </w:p>
                          </w:tc>
                        </w:tr>
                      </w:tbl>
                      <w:p w14:paraId="5B70200C"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3980"/>
                        </w:tblGrid>
                        <w:tr w:rsidR="005C5745" w:rsidRPr="005C5745" w14:paraId="4F8D4782" w14:textId="77777777" w:rsidTr="005C5745">
                          <w:trPr>
                            <w:tblCellSpacing w:w="0" w:type="dxa"/>
                          </w:trPr>
                          <w:tc>
                            <w:tcPr>
                              <w:tcW w:w="195" w:type="dxa"/>
                              <w:vAlign w:val="bottom"/>
                              <w:hideMark/>
                            </w:tcPr>
                            <w:p w14:paraId="778A4944"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0F29BEE6"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color w:val="000000"/>
                                  <w:sz w:val="18"/>
                                  <w:szCs w:val="18"/>
                                  <w:lang w:eastAsia="en-GB"/>
                                </w:rPr>
                                <w:t>Κόστος</w:t>
                              </w:r>
                              <w:proofErr w:type="spellEnd"/>
                              <w:r w:rsidRPr="005C5745">
                                <w:rPr>
                                  <w:rFonts w:ascii="Verdana" w:eastAsia="Times New Roman" w:hAnsi="Verdana" w:cs="Times New Roman"/>
                                  <w:color w:val="000000"/>
                                  <w:sz w:val="18"/>
                                  <w:szCs w:val="18"/>
                                  <w:lang w:eastAsia="en-GB"/>
                                </w:rPr>
                                <w:t xml:space="preserve"> </w:t>
                              </w:r>
                              <w:proofErr w:type="spellStart"/>
                              <w:r w:rsidRPr="005C5745">
                                <w:rPr>
                                  <w:rFonts w:ascii="Verdana" w:eastAsia="Times New Roman" w:hAnsi="Verdana" w:cs="Times New Roman"/>
                                  <w:color w:val="000000"/>
                                  <w:sz w:val="18"/>
                                  <w:szCs w:val="18"/>
                                  <w:lang w:eastAsia="en-GB"/>
                                </w:rPr>
                                <w:t>τηλε</w:t>
                              </w:r>
                              <w:proofErr w:type="spellEnd"/>
                              <w:r w:rsidRPr="005C5745">
                                <w:rPr>
                                  <w:rFonts w:ascii="Verdana" w:eastAsia="Times New Roman" w:hAnsi="Verdana" w:cs="Times New Roman"/>
                                  <w:color w:val="000000"/>
                                  <w:sz w:val="18"/>
                                  <w:szCs w:val="18"/>
                                  <w:lang w:eastAsia="en-GB"/>
                                </w:rPr>
                                <w:t>πικοινωνιών: €2.000 (α</w:t>
                              </w:r>
                              <w:proofErr w:type="spellStart"/>
                              <w:r w:rsidRPr="005C5745">
                                <w:rPr>
                                  <w:rFonts w:ascii="Verdana" w:eastAsia="Times New Roman" w:hAnsi="Verdana" w:cs="Times New Roman"/>
                                  <w:color w:val="000000"/>
                                  <w:sz w:val="18"/>
                                  <w:szCs w:val="18"/>
                                  <w:lang w:eastAsia="en-GB"/>
                                </w:rPr>
                                <w:t>νά</w:t>
                              </w:r>
                              <w:proofErr w:type="spellEnd"/>
                              <w:r w:rsidRPr="005C5745">
                                <w:rPr>
                                  <w:rFonts w:ascii="Verdana" w:eastAsia="Times New Roman" w:hAnsi="Verdana" w:cs="Times New Roman"/>
                                  <w:color w:val="000000"/>
                                  <w:sz w:val="18"/>
                                  <w:szCs w:val="18"/>
                                  <w:lang w:eastAsia="en-GB"/>
                                </w:rPr>
                                <w:t xml:space="preserve"> </w:t>
                              </w:r>
                              <w:proofErr w:type="spellStart"/>
                              <w:r w:rsidRPr="005C5745">
                                <w:rPr>
                                  <w:rFonts w:ascii="Verdana" w:eastAsia="Times New Roman" w:hAnsi="Verdana" w:cs="Times New Roman"/>
                                  <w:color w:val="000000"/>
                                  <w:sz w:val="18"/>
                                  <w:szCs w:val="18"/>
                                  <w:lang w:eastAsia="en-GB"/>
                                </w:rPr>
                                <w:t>έτος</w:t>
                              </w:r>
                              <w:proofErr w:type="spellEnd"/>
                              <w:r w:rsidRPr="005C5745">
                                <w:rPr>
                                  <w:rFonts w:ascii="Verdana" w:eastAsia="Times New Roman" w:hAnsi="Verdana" w:cs="Times New Roman"/>
                                  <w:color w:val="000000"/>
                                  <w:sz w:val="18"/>
                                  <w:szCs w:val="18"/>
                                  <w:lang w:eastAsia="en-GB"/>
                                </w:rPr>
                                <w:t>)</w:t>
                              </w:r>
                            </w:p>
                          </w:tc>
                        </w:tr>
                        <w:tr w:rsidR="005C5745" w:rsidRPr="005C5745" w14:paraId="59436DA9" w14:textId="77777777">
                          <w:trPr>
                            <w:tblCellSpacing w:w="0" w:type="dxa"/>
                          </w:trPr>
                          <w:tc>
                            <w:tcPr>
                              <w:tcW w:w="195" w:type="dxa"/>
                              <w:vAlign w:val="bottom"/>
                              <w:hideMark/>
                            </w:tcPr>
                            <w:p w14:paraId="79FD2AC7"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005F0B5C"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color w:val="000000"/>
                                  <w:sz w:val="18"/>
                                  <w:szCs w:val="18"/>
                                  <w:lang w:eastAsia="en-GB"/>
                                </w:rPr>
                                <w:t>Κόστος</w:t>
                              </w:r>
                              <w:proofErr w:type="spellEnd"/>
                              <w:r w:rsidRPr="005C5745">
                                <w:rPr>
                                  <w:rFonts w:ascii="Verdana" w:eastAsia="Times New Roman" w:hAnsi="Verdana" w:cs="Times New Roman"/>
                                  <w:color w:val="000000"/>
                                  <w:sz w:val="18"/>
                                  <w:szCs w:val="18"/>
                                  <w:lang w:eastAsia="en-GB"/>
                                </w:rPr>
                                <w:t xml:space="preserve"> α</w:t>
                              </w:r>
                              <w:proofErr w:type="spellStart"/>
                              <w:r w:rsidRPr="005C5745">
                                <w:rPr>
                                  <w:rFonts w:ascii="Verdana" w:eastAsia="Times New Roman" w:hAnsi="Verdana" w:cs="Times New Roman"/>
                                  <w:color w:val="000000"/>
                                  <w:sz w:val="18"/>
                                  <w:szCs w:val="18"/>
                                  <w:lang w:eastAsia="en-GB"/>
                                </w:rPr>
                                <w:t>σφάλισης</w:t>
                              </w:r>
                              <w:proofErr w:type="spellEnd"/>
                              <w:r w:rsidRPr="005C5745">
                                <w:rPr>
                                  <w:rFonts w:ascii="Verdana" w:eastAsia="Times New Roman" w:hAnsi="Verdana" w:cs="Times New Roman"/>
                                  <w:color w:val="000000"/>
                                  <w:sz w:val="18"/>
                                  <w:szCs w:val="18"/>
                                  <w:lang w:eastAsia="en-GB"/>
                                </w:rPr>
                                <w:t>: €2.000 (α</w:t>
                              </w:r>
                              <w:proofErr w:type="spellStart"/>
                              <w:r w:rsidRPr="005C5745">
                                <w:rPr>
                                  <w:rFonts w:ascii="Verdana" w:eastAsia="Times New Roman" w:hAnsi="Verdana" w:cs="Times New Roman"/>
                                  <w:color w:val="000000"/>
                                  <w:sz w:val="18"/>
                                  <w:szCs w:val="18"/>
                                  <w:lang w:eastAsia="en-GB"/>
                                </w:rPr>
                                <w:t>νά</w:t>
                              </w:r>
                              <w:proofErr w:type="spellEnd"/>
                              <w:r w:rsidRPr="005C5745">
                                <w:rPr>
                                  <w:rFonts w:ascii="Verdana" w:eastAsia="Times New Roman" w:hAnsi="Verdana" w:cs="Times New Roman"/>
                                  <w:color w:val="000000"/>
                                  <w:sz w:val="18"/>
                                  <w:szCs w:val="18"/>
                                  <w:lang w:eastAsia="en-GB"/>
                                </w:rPr>
                                <w:t xml:space="preserve"> </w:t>
                              </w:r>
                              <w:proofErr w:type="spellStart"/>
                              <w:r w:rsidRPr="005C5745">
                                <w:rPr>
                                  <w:rFonts w:ascii="Verdana" w:eastAsia="Times New Roman" w:hAnsi="Verdana" w:cs="Times New Roman"/>
                                  <w:color w:val="000000"/>
                                  <w:sz w:val="18"/>
                                  <w:szCs w:val="18"/>
                                  <w:lang w:eastAsia="en-GB"/>
                                </w:rPr>
                                <w:t>έτος</w:t>
                              </w:r>
                              <w:proofErr w:type="spellEnd"/>
                              <w:r w:rsidRPr="005C5745">
                                <w:rPr>
                                  <w:rFonts w:ascii="Verdana" w:eastAsia="Times New Roman" w:hAnsi="Verdana" w:cs="Times New Roman"/>
                                  <w:color w:val="000000"/>
                                  <w:sz w:val="18"/>
                                  <w:szCs w:val="18"/>
                                  <w:lang w:eastAsia="en-GB"/>
                                </w:rPr>
                                <w:t>)</w:t>
                              </w:r>
                            </w:p>
                          </w:tc>
                        </w:tr>
                      </w:tbl>
                      <w:p w14:paraId="0AD2D0CE"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4138"/>
                        </w:tblGrid>
                        <w:tr w:rsidR="005C5745" w:rsidRPr="005C5745" w14:paraId="7075925E" w14:textId="77777777" w:rsidTr="005C5745">
                          <w:trPr>
                            <w:tblCellSpacing w:w="0" w:type="dxa"/>
                          </w:trPr>
                          <w:tc>
                            <w:tcPr>
                              <w:tcW w:w="195" w:type="dxa"/>
                              <w:vAlign w:val="bottom"/>
                              <w:hideMark/>
                            </w:tcPr>
                            <w:p w14:paraId="54A1199E"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4360B7BC"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color w:val="000000"/>
                                  <w:sz w:val="18"/>
                                  <w:szCs w:val="18"/>
                                  <w:lang w:eastAsia="en-GB"/>
                                </w:rPr>
                                <w:t>Κρ</w:t>
                              </w:r>
                              <w:proofErr w:type="spellEnd"/>
                              <w:r w:rsidRPr="005C5745">
                                <w:rPr>
                                  <w:rFonts w:ascii="Verdana" w:eastAsia="Times New Roman" w:hAnsi="Verdana" w:cs="Times New Roman"/>
                                  <w:color w:val="000000"/>
                                  <w:sz w:val="18"/>
                                  <w:szCs w:val="18"/>
                                  <w:lang w:eastAsia="en-GB"/>
                                </w:rPr>
                                <w:t xml:space="preserve">ατικοί </w:t>
                              </w:r>
                              <w:proofErr w:type="spellStart"/>
                              <w:r w:rsidRPr="005C5745">
                                <w:rPr>
                                  <w:rFonts w:ascii="Verdana" w:eastAsia="Times New Roman" w:hAnsi="Verdana" w:cs="Times New Roman"/>
                                  <w:color w:val="000000"/>
                                  <w:sz w:val="18"/>
                                  <w:szCs w:val="18"/>
                                  <w:lang w:eastAsia="en-GB"/>
                                </w:rPr>
                                <w:t>Φόροι</w:t>
                              </w:r>
                              <w:proofErr w:type="spellEnd"/>
                              <w:r w:rsidRPr="005C5745">
                                <w:rPr>
                                  <w:rFonts w:ascii="Verdana" w:eastAsia="Times New Roman" w:hAnsi="Verdana" w:cs="Times New Roman"/>
                                  <w:color w:val="000000"/>
                                  <w:sz w:val="18"/>
                                  <w:szCs w:val="18"/>
                                  <w:lang w:eastAsia="en-GB"/>
                                </w:rPr>
                                <w:t>: €1.100 (α</w:t>
                              </w:r>
                              <w:proofErr w:type="spellStart"/>
                              <w:r w:rsidRPr="005C5745">
                                <w:rPr>
                                  <w:rFonts w:ascii="Verdana" w:eastAsia="Times New Roman" w:hAnsi="Verdana" w:cs="Times New Roman"/>
                                  <w:color w:val="000000"/>
                                  <w:sz w:val="18"/>
                                  <w:szCs w:val="18"/>
                                  <w:lang w:eastAsia="en-GB"/>
                                </w:rPr>
                                <w:t>νά</w:t>
                              </w:r>
                              <w:proofErr w:type="spellEnd"/>
                              <w:r w:rsidRPr="005C5745">
                                <w:rPr>
                                  <w:rFonts w:ascii="Verdana" w:eastAsia="Times New Roman" w:hAnsi="Verdana" w:cs="Times New Roman"/>
                                  <w:color w:val="000000"/>
                                  <w:sz w:val="18"/>
                                  <w:szCs w:val="18"/>
                                  <w:lang w:eastAsia="en-GB"/>
                                </w:rPr>
                                <w:t xml:space="preserve"> </w:t>
                              </w:r>
                              <w:proofErr w:type="spellStart"/>
                              <w:r w:rsidRPr="005C5745">
                                <w:rPr>
                                  <w:rFonts w:ascii="Verdana" w:eastAsia="Times New Roman" w:hAnsi="Verdana" w:cs="Times New Roman"/>
                                  <w:color w:val="000000"/>
                                  <w:sz w:val="18"/>
                                  <w:szCs w:val="18"/>
                                  <w:lang w:eastAsia="en-GB"/>
                                </w:rPr>
                                <w:t>έτος</w:t>
                              </w:r>
                              <w:proofErr w:type="spellEnd"/>
                              <w:r w:rsidRPr="005C5745">
                                <w:rPr>
                                  <w:rFonts w:ascii="Verdana" w:eastAsia="Times New Roman" w:hAnsi="Verdana" w:cs="Times New Roman"/>
                                  <w:color w:val="000000"/>
                                  <w:sz w:val="18"/>
                                  <w:szCs w:val="18"/>
                                  <w:lang w:eastAsia="en-GB"/>
                                </w:rPr>
                                <w:t>)</w:t>
                              </w:r>
                            </w:p>
                          </w:tc>
                        </w:tr>
                        <w:tr w:rsidR="005C5745" w:rsidRPr="005C5745" w14:paraId="5FC527EB" w14:textId="77777777">
                          <w:trPr>
                            <w:tblCellSpacing w:w="0" w:type="dxa"/>
                          </w:trPr>
                          <w:tc>
                            <w:tcPr>
                              <w:tcW w:w="195" w:type="dxa"/>
                              <w:vAlign w:val="bottom"/>
                              <w:hideMark/>
                            </w:tcPr>
                            <w:p w14:paraId="697D0FA4"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lastRenderedPageBreak/>
                                <w:t>▪</w:t>
                              </w:r>
                            </w:p>
                          </w:tc>
                          <w:tc>
                            <w:tcPr>
                              <w:tcW w:w="0" w:type="auto"/>
                              <w:vAlign w:val="bottom"/>
                              <w:hideMark/>
                            </w:tcPr>
                            <w:p w14:paraId="7DCDEB34"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Κόστος αναλωσίμων υλών: €2.000 (ανά έτος)</w:t>
                              </w:r>
                            </w:p>
                          </w:tc>
                        </w:tr>
                      </w:tbl>
                      <w:p w14:paraId="2999504B"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4860"/>
                        </w:tblGrid>
                        <w:tr w:rsidR="005C5745" w:rsidRPr="005C5745" w14:paraId="799B8F11" w14:textId="77777777" w:rsidTr="005C5745">
                          <w:trPr>
                            <w:tblCellSpacing w:w="0" w:type="dxa"/>
                          </w:trPr>
                          <w:tc>
                            <w:tcPr>
                              <w:tcW w:w="195" w:type="dxa"/>
                              <w:vAlign w:val="bottom"/>
                              <w:hideMark/>
                            </w:tcPr>
                            <w:p w14:paraId="79AA12A0"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0C998BF9"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Κόστος αδειών χρήσης λογισμικού: €1.000 (ανά έτος)</w:t>
                              </w:r>
                            </w:p>
                          </w:tc>
                        </w:tr>
                        <w:tr w:rsidR="005C5745" w:rsidRPr="005C5745" w14:paraId="69C9431D" w14:textId="77777777">
                          <w:trPr>
                            <w:tblCellSpacing w:w="0" w:type="dxa"/>
                          </w:trPr>
                          <w:tc>
                            <w:tcPr>
                              <w:tcW w:w="195" w:type="dxa"/>
                              <w:vAlign w:val="bottom"/>
                              <w:hideMark/>
                            </w:tcPr>
                            <w:p w14:paraId="5FCC878B"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4478CFD0"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color w:val="000000"/>
                                  <w:sz w:val="18"/>
                                  <w:szCs w:val="18"/>
                                  <w:lang w:eastAsia="en-GB"/>
                                </w:rPr>
                                <w:t>Διάφορ</w:t>
                              </w:r>
                              <w:proofErr w:type="spellEnd"/>
                              <w:r w:rsidRPr="005C5745">
                                <w:rPr>
                                  <w:rFonts w:ascii="Verdana" w:eastAsia="Times New Roman" w:hAnsi="Verdana" w:cs="Times New Roman"/>
                                  <w:color w:val="000000"/>
                                  <w:sz w:val="18"/>
                                  <w:szCs w:val="18"/>
                                  <w:lang w:eastAsia="en-GB"/>
                                </w:rPr>
                                <w:t xml:space="preserve">α </w:t>
                              </w:r>
                              <w:proofErr w:type="spellStart"/>
                              <w:r w:rsidRPr="005C5745">
                                <w:rPr>
                                  <w:rFonts w:ascii="Verdana" w:eastAsia="Times New Roman" w:hAnsi="Verdana" w:cs="Times New Roman"/>
                                  <w:color w:val="000000"/>
                                  <w:sz w:val="18"/>
                                  <w:szCs w:val="18"/>
                                  <w:lang w:eastAsia="en-GB"/>
                                </w:rPr>
                                <w:t>έξοδ</w:t>
                              </w:r>
                              <w:proofErr w:type="spellEnd"/>
                              <w:r w:rsidRPr="005C5745">
                                <w:rPr>
                                  <w:rFonts w:ascii="Verdana" w:eastAsia="Times New Roman" w:hAnsi="Verdana" w:cs="Times New Roman"/>
                                  <w:color w:val="000000"/>
                                  <w:sz w:val="18"/>
                                  <w:szCs w:val="18"/>
                                  <w:lang w:eastAsia="en-GB"/>
                                </w:rPr>
                                <w:t>α: €3.000 (α</w:t>
                              </w:r>
                              <w:proofErr w:type="spellStart"/>
                              <w:r w:rsidRPr="005C5745">
                                <w:rPr>
                                  <w:rFonts w:ascii="Verdana" w:eastAsia="Times New Roman" w:hAnsi="Verdana" w:cs="Times New Roman"/>
                                  <w:color w:val="000000"/>
                                  <w:sz w:val="18"/>
                                  <w:szCs w:val="18"/>
                                  <w:lang w:eastAsia="en-GB"/>
                                </w:rPr>
                                <w:t>νά</w:t>
                              </w:r>
                              <w:proofErr w:type="spellEnd"/>
                              <w:r w:rsidRPr="005C5745">
                                <w:rPr>
                                  <w:rFonts w:ascii="Verdana" w:eastAsia="Times New Roman" w:hAnsi="Verdana" w:cs="Times New Roman"/>
                                  <w:color w:val="000000"/>
                                  <w:sz w:val="18"/>
                                  <w:szCs w:val="18"/>
                                  <w:lang w:eastAsia="en-GB"/>
                                </w:rPr>
                                <w:t xml:space="preserve"> </w:t>
                              </w:r>
                              <w:proofErr w:type="spellStart"/>
                              <w:r w:rsidRPr="005C5745">
                                <w:rPr>
                                  <w:rFonts w:ascii="Verdana" w:eastAsia="Times New Roman" w:hAnsi="Verdana" w:cs="Times New Roman"/>
                                  <w:color w:val="000000"/>
                                  <w:sz w:val="18"/>
                                  <w:szCs w:val="18"/>
                                  <w:lang w:eastAsia="en-GB"/>
                                </w:rPr>
                                <w:t>έτος</w:t>
                              </w:r>
                              <w:proofErr w:type="spellEnd"/>
                              <w:r w:rsidRPr="005C5745">
                                <w:rPr>
                                  <w:rFonts w:ascii="Verdana" w:eastAsia="Times New Roman" w:hAnsi="Verdana" w:cs="Times New Roman"/>
                                  <w:color w:val="000000"/>
                                  <w:sz w:val="18"/>
                                  <w:szCs w:val="18"/>
                                  <w:lang w:eastAsia="en-GB"/>
                                </w:rPr>
                                <w:t>)</w:t>
                              </w:r>
                            </w:p>
                          </w:tc>
                        </w:tr>
                      </w:tbl>
                      <w:p w14:paraId="6920A698"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6558"/>
                        </w:tblGrid>
                        <w:tr w:rsidR="005C5745" w:rsidRPr="005C5745" w14:paraId="0F85198F" w14:textId="77777777" w:rsidTr="005C5745">
                          <w:trPr>
                            <w:tblCellSpacing w:w="0" w:type="dxa"/>
                          </w:trPr>
                          <w:tc>
                            <w:tcPr>
                              <w:tcW w:w="195" w:type="dxa"/>
                              <w:vAlign w:val="bottom"/>
                              <w:hideMark/>
                            </w:tcPr>
                            <w:p w14:paraId="24A4071D"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43B19A9C"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Κόστος συντήρησης υποδομής: €1.000 (ανά έτος) + €30.000 κάθε 5 έτη</w:t>
                              </w:r>
                            </w:p>
                          </w:tc>
                        </w:tr>
                      </w:tbl>
                      <w:p w14:paraId="00322FFC" w14:textId="77777777" w:rsidR="005C5745" w:rsidRPr="005C5745" w:rsidRDefault="005C5745" w:rsidP="005C5745">
                        <w:pPr>
                          <w:spacing w:before="45" w:after="45" w:line="240" w:lineRule="auto"/>
                          <w:ind w:left="120"/>
                          <w:jc w:val="both"/>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b/>
                            <w:bCs/>
                            <w:i/>
                            <w:iCs/>
                            <w:color w:val="000000"/>
                            <w:sz w:val="18"/>
                            <w:szCs w:val="18"/>
                            <w:u w:val="single"/>
                            <w:lang w:eastAsia="en-GB"/>
                          </w:rPr>
                          <w:t>Οφέλη</w:t>
                        </w:r>
                        <w:proofErr w:type="spellEnd"/>
                      </w:p>
                      <w:tbl>
                        <w:tblPr>
                          <w:tblW w:w="0" w:type="auto"/>
                          <w:tblCellSpacing w:w="0" w:type="dxa"/>
                          <w:tblCellMar>
                            <w:left w:w="0" w:type="dxa"/>
                            <w:right w:w="0" w:type="dxa"/>
                          </w:tblCellMar>
                          <w:tblLook w:val="04A0" w:firstRow="1" w:lastRow="0" w:firstColumn="1" w:lastColumn="0" w:noHBand="0" w:noVBand="1"/>
                        </w:tblPr>
                        <w:tblGrid>
                          <w:gridCol w:w="195"/>
                          <w:gridCol w:w="9801"/>
                        </w:tblGrid>
                        <w:tr w:rsidR="005C5745" w:rsidRPr="005C5745" w14:paraId="6DE190AD" w14:textId="77777777" w:rsidTr="005C5745">
                          <w:trPr>
                            <w:tblCellSpacing w:w="0" w:type="dxa"/>
                          </w:trPr>
                          <w:tc>
                            <w:tcPr>
                              <w:tcW w:w="195" w:type="dxa"/>
                              <w:vAlign w:val="bottom"/>
                              <w:hideMark/>
                            </w:tcPr>
                            <w:p w14:paraId="20679065"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401B2EDC"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Έσοδα από τα τέλη στάθμευσης: €4/αυτοκίνητο </w:t>
                              </w:r>
                              <w:r w:rsidRPr="005C5745">
                                <w:rPr>
                                  <w:rFonts w:ascii="Verdana" w:eastAsia="Times New Roman" w:hAnsi="Verdana" w:cs="Times New Roman"/>
                                  <w:color w:val="000000"/>
                                  <w:sz w:val="18"/>
                                  <w:szCs w:val="18"/>
                                  <w:lang w:eastAsia="en-GB"/>
                                </w:rPr>
                                <w:t>x</w:t>
                              </w:r>
                              <w:r w:rsidRPr="005C5745">
                                <w:rPr>
                                  <w:rFonts w:ascii="Verdana" w:eastAsia="Times New Roman" w:hAnsi="Verdana" w:cs="Times New Roman"/>
                                  <w:color w:val="000000"/>
                                  <w:sz w:val="18"/>
                                  <w:szCs w:val="18"/>
                                  <w:lang w:val="el-GR" w:eastAsia="en-GB"/>
                                </w:rPr>
                                <w:t xml:space="preserve"> 250 αυτοκίνητα </w:t>
                              </w:r>
                              <w:r w:rsidRPr="005C5745">
                                <w:rPr>
                                  <w:rFonts w:ascii="Verdana" w:eastAsia="Times New Roman" w:hAnsi="Verdana" w:cs="Times New Roman"/>
                                  <w:color w:val="000000"/>
                                  <w:sz w:val="18"/>
                                  <w:szCs w:val="18"/>
                                  <w:lang w:eastAsia="en-GB"/>
                                </w:rPr>
                                <w:t>x</w:t>
                              </w:r>
                              <w:r w:rsidRPr="005C5745">
                                <w:rPr>
                                  <w:rFonts w:ascii="Verdana" w:eastAsia="Times New Roman" w:hAnsi="Verdana" w:cs="Times New Roman"/>
                                  <w:color w:val="000000"/>
                                  <w:sz w:val="18"/>
                                  <w:szCs w:val="18"/>
                                  <w:lang w:val="el-GR" w:eastAsia="en-GB"/>
                                </w:rPr>
                                <w:t xml:space="preserve"> 365 ημέρες/έτος = €365.000 (ανά έτος)</w:t>
                              </w:r>
                            </w:p>
                          </w:tc>
                        </w:tr>
                      </w:tbl>
                      <w:p w14:paraId="01782620" w14:textId="77777777" w:rsidR="005C5745" w:rsidRPr="005C5745" w:rsidRDefault="005C5745" w:rsidP="005C5745">
                        <w:pPr>
                          <w:spacing w:before="45" w:after="45" w:line="240" w:lineRule="auto"/>
                          <w:ind w:left="120"/>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eastAsia="en-GB"/>
                          </w:rPr>
                          <w:t> </w:t>
                        </w:r>
                      </w:p>
                    </w:tc>
                  </w:tr>
                </w:tbl>
                <w:p w14:paraId="3FDA6269" w14:textId="77777777" w:rsidR="005C5745" w:rsidRPr="005C5745" w:rsidRDefault="005C5745" w:rsidP="005C5745">
                  <w:pPr>
                    <w:spacing w:after="0" w:line="240" w:lineRule="auto"/>
                    <w:jc w:val="both"/>
                    <w:rPr>
                      <w:rFonts w:ascii="Verdana" w:eastAsia="Times New Roman" w:hAnsi="Verdana" w:cs="Times New Roman"/>
                      <w:color w:val="000000"/>
                      <w:sz w:val="18"/>
                      <w:szCs w:val="18"/>
                      <w:lang w:val="el-GR" w:eastAsia="en-GB"/>
                    </w:rPr>
                  </w:pPr>
                </w:p>
              </w:tc>
            </w:tr>
          </w:tbl>
          <w:p w14:paraId="2CF3EEB0"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eastAsia="en-GB"/>
              </w:rPr>
              <w:lastRenderedPageBreak/>
              <w:t> </w:t>
            </w:r>
          </w:p>
          <w:p w14:paraId="25189734" w14:textId="77777777" w:rsidR="005C5745" w:rsidRPr="005C5745" w:rsidRDefault="005C5745" w:rsidP="005C5745">
            <w:pPr>
              <w:pBdr>
                <w:top w:val="single" w:sz="6" w:space="1" w:color="000000"/>
                <w:left w:val="single" w:sz="6" w:space="4" w:color="000000"/>
                <w:bottom w:val="single" w:sz="6" w:space="1" w:color="000000"/>
                <w:right w:val="single" w:sz="6" w:space="4" w:color="000000"/>
              </w:pBdr>
              <w:shd w:val="clear" w:color="auto" w:fill="FFFF99"/>
              <w:spacing w:before="30" w:after="30" w:line="240" w:lineRule="auto"/>
              <w:ind w:left="-75" w:right="-75"/>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 xml:space="preserve">Κατάστρωση των ταμειακών ροών για την περίοδο ανάλυσης </w:t>
            </w:r>
          </w:p>
          <w:p w14:paraId="3B6D6162"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Αφού προσδιοριστούν και εκτιμηθούν τα μεγέθη κόστους και τα οφέλη, θα πρέπει να είστε σε θέση να καταστρώσετε τις ταμειακές ροές για την προκαθορισμένη χρονική περίοδο, για την οποία αξιολογείται η προτεινόμενη επένδυση. Ο όρος </w:t>
            </w:r>
            <w:r w:rsidRPr="005C5745">
              <w:rPr>
                <w:rFonts w:ascii="Verdana" w:eastAsia="Times New Roman" w:hAnsi="Verdana" w:cs="Times New Roman"/>
                <w:b/>
                <w:bCs/>
                <w:color w:val="000000"/>
                <w:sz w:val="18"/>
                <w:szCs w:val="18"/>
                <w:lang w:val="el-GR" w:eastAsia="en-GB"/>
              </w:rPr>
              <w:t xml:space="preserve">ταμειακές ροές </w:t>
            </w:r>
            <w:r w:rsidRPr="005C5745">
              <w:rPr>
                <w:rFonts w:ascii="Verdana" w:eastAsia="Times New Roman" w:hAnsi="Verdana" w:cs="Times New Roman"/>
                <w:color w:val="000000"/>
                <w:sz w:val="18"/>
                <w:szCs w:val="18"/>
                <w:lang w:val="el-GR" w:eastAsia="en-GB"/>
              </w:rPr>
              <w:t>χρησιμοποιείται για να περιγράψει το ποσό ρευστού χρήματος που εισρέει (όφελος) στην επιχείρηση και εκρέει (κόστος) από αυτήν κατά τη διάρκεια ορισμένης περιόδου.</w:t>
            </w:r>
          </w:p>
          <w:p w14:paraId="6E3DCEFB"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drawing>
                <wp:inline distT="0" distB="0" distL="0" distR="0" wp14:anchorId="66AC32D0" wp14:editId="77263073">
                  <wp:extent cx="400050" cy="257175"/>
                  <wp:effectExtent l="0" t="0" r="0" b="9525"/>
                  <wp:docPr id="9" name="Picture 9" descr="http://www.publicprocurementguides.treasury.gov.cy/OHS-GR/HTML/embim9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ublicprocurementguides.treasury.gov.cy/OHS-GR/HTML/embim96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Συνήθως, για περιόδους αξιολόγησης μεγαλύτερες από τέσσερα έτη είναι καλύτερη η χρησιμοποίηση ετήσιων ροών, ενώ για μικρότερες περιόδους μπορείτε επίσης να χρησιμοποιήσετε μηνιαίες ροές. Τα ποιοτικά μεγέθη κόστους και τα οφέλη που μπορούν να εκτιμηθούν με χρηματικούς όρους θα πρέπει να περιλαμβάνονται στην ανάλυση όπως οποιαδήποτε άλλη ταμειακή ροή.</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p w14:paraId="543A5FFB"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Για τον υπολογισμό των </w:t>
            </w:r>
            <w:r w:rsidRPr="005C5745">
              <w:rPr>
                <w:rFonts w:ascii="Verdana" w:eastAsia="Times New Roman" w:hAnsi="Verdana" w:cs="Times New Roman"/>
                <w:b/>
                <w:bCs/>
                <w:color w:val="000000"/>
                <w:sz w:val="18"/>
                <w:szCs w:val="18"/>
                <w:lang w:val="el-GR" w:eastAsia="en-GB"/>
              </w:rPr>
              <w:t xml:space="preserve">καθαρών ταμειακών ροών </w:t>
            </w:r>
            <w:r w:rsidRPr="005C5745">
              <w:rPr>
                <w:rFonts w:ascii="Verdana" w:eastAsia="Times New Roman" w:hAnsi="Verdana" w:cs="Times New Roman"/>
                <w:color w:val="000000"/>
                <w:sz w:val="18"/>
                <w:szCs w:val="18"/>
                <w:lang w:val="el-GR" w:eastAsia="en-GB"/>
              </w:rPr>
              <w:t xml:space="preserve">για κάθε περίοδο του Έργου (συνήθως για κάθε έτος) πρέπει πρώτα να προσθέσετε όλες τις </w:t>
            </w:r>
            <w:r w:rsidRPr="005C5745">
              <w:rPr>
                <w:rFonts w:ascii="Verdana" w:eastAsia="Times New Roman" w:hAnsi="Verdana" w:cs="Times New Roman"/>
                <w:b/>
                <w:bCs/>
                <w:color w:val="000000"/>
                <w:sz w:val="18"/>
                <w:szCs w:val="18"/>
                <w:lang w:val="el-GR" w:eastAsia="en-GB"/>
              </w:rPr>
              <w:t xml:space="preserve">ταμειακές εισροές </w:t>
            </w:r>
            <w:r w:rsidRPr="005C5745">
              <w:rPr>
                <w:rFonts w:ascii="Verdana" w:eastAsia="Times New Roman" w:hAnsi="Verdana" w:cs="Times New Roman"/>
                <w:color w:val="000000"/>
                <w:sz w:val="18"/>
                <w:szCs w:val="18"/>
                <w:lang w:val="el-GR" w:eastAsia="en-GB"/>
              </w:rPr>
              <w:t xml:space="preserve">και </w:t>
            </w:r>
            <w:r w:rsidRPr="005C5745">
              <w:rPr>
                <w:rFonts w:ascii="Verdana" w:eastAsia="Times New Roman" w:hAnsi="Verdana" w:cs="Times New Roman"/>
                <w:b/>
                <w:bCs/>
                <w:color w:val="000000"/>
                <w:sz w:val="18"/>
                <w:szCs w:val="18"/>
                <w:lang w:val="el-GR" w:eastAsia="en-GB"/>
              </w:rPr>
              <w:t xml:space="preserve">εκροές </w:t>
            </w:r>
            <w:r w:rsidRPr="005C5745">
              <w:rPr>
                <w:rFonts w:ascii="Verdana" w:eastAsia="Times New Roman" w:hAnsi="Verdana" w:cs="Times New Roman"/>
                <w:color w:val="000000"/>
                <w:sz w:val="18"/>
                <w:szCs w:val="18"/>
                <w:lang w:val="el-GR" w:eastAsia="en-GB"/>
              </w:rPr>
              <w:t xml:space="preserve">ώστε να υπολογίσετε το </w:t>
            </w:r>
            <w:r w:rsidRPr="005C5745">
              <w:rPr>
                <w:rFonts w:ascii="Verdana" w:eastAsia="Times New Roman" w:hAnsi="Verdana" w:cs="Times New Roman"/>
                <w:b/>
                <w:bCs/>
                <w:color w:val="000000"/>
                <w:sz w:val="18"/>
                <w:szCs w:val="18"/>
                <w:lang w:val="el-GR" w:eastAsia="en-GB"/>
              </w:rPr>
              <w:t>σύνολο των ταμειακών εισροών</w:t>
            </w:r>
            <w:r w:rsidRPr="005C5745">
              <w:rPr>
                <w:rFonts w:ascii="Verdana" w:eastAsia="Times New Roman" w:hAnsi="Verdana" w:cs="Times New Roman"/>
                <w:color w:val="000000"/>
                <w:sz w:val="18"/>
                <w:szCs w:val="18"/>
                <w:lang w:val="el-GR" w:eastAsia="en-GB"/>
              </w:rPr>
              <w:t xml:space="preserve"> και το </w:t>
            </w:r>
            <w:r w:rsidRPr="005C5745">
              <w:rPr>
                <w:rFonts w:ascii="Verdana" w:eastAsia="Times New Roman" w:hAnsi="Verdana" w:cs="Times New Roman"/>
                <w:b/>
                <w:bCs/>
                <w:color w:val="000000"/>
                <w:sz w:val="18"/>
                <w:szCs w:val="18"/>
                <w:lang w:val="el-GR" w:eastAsia="en-GB"/>
              </w:rPr>
              <w:t xml:space="preserve">σύνολο των ταμειακών εκροών </w:t>
            </w:r>
            <w:r w:rsidRPr="005C5745">
              <w:rPr>
                <w:rFonts w:ascii="Verdana" w:eastAsia="Times New Roman" w:hAnsi="Verdana" w:cs="Times New Roman"/>
                <w:color w:val="000000"/>
                <w:sz w:val="18"/>
                <w:szCs w:val="18"/>
                <w:lang w:val="el-GR" w:eastAsia="en-GB"/>
              </w:rPr>
              <w:t>αντίστοιχα και στη συνέχεια να εφαρμόσετε τον ακόλουθο τύπο:</w:t>
            </w:r>
          </w:p>
          <w:p w14:paraId="5E80F021"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eastAsia="en-GB"/>
              </w:rPr>
            </w:pPr>
            <w:r w:rsidRPr="005C5745">
              <w:rPr>
                <w:rFonts w:ascii="Verdana" w:eastAsia="Times New Roman" w:hAnsi="Verdana" w:cs="Times New Roman"/>
                <w:noProof/>
                <w:color w:val="000000"/>
                <w:sz w:val="18"/>
                <w:szCs w:val="18"/>
                <w:lang w:eastAsia="en-GB"/>
              </w:rPr>
              <w:drawing>
                <wp:inline distT="0" distB="0" distL="0" distR="0" wp14:anchorId="0F1D9248" wp14:editId="7C819A36">
                  <wp:extent cx="5924550" cy="371475"/>
                  <wp:effectExtent l="0" t="0" r="0" b="9525"/>
                  <wp:docPr id="10" name="Picture 10" descr="http://www.publicprocurementguides.treasury.gov.cy/OHS-GR/HTML/embim9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ublicprocurementguides.treasury.gov.cy/OHS-GR/HTML/embim96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4550" cy="371475"/>
                          </a:xfrm>
                          <a:prstGeom prst="rect">
                            <a:avLst/>
                          </a:prstGeom>
                          <a:noFill/>
                          <a:ln>
                            <a:noFill/>
                          </a:ln>
                        </pic:spPr>
                      </pic:pic>
                    </a:graphicData>
                  </a:graphic>
                </wp:inline>
              </w:drawing>
            </w:r>
          </w:p>
          <w:p w14:paraId="13891AED"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drawing>
                <wp:inline distT="0" distB="0" distL="0" distR="0" wp14:anchorId="13060374" wp14:editId="68BF3A1A">
                  <wp:extent cx="381000" cy="304800"/>
                  <wp:effectExtent l="0" t="0" r="0" b="0"/>
                  <wp:docPr id="11" name="Picture 11" descr="http://www.publicprocurementguides.treasury.gov.cy/OHS-GR/HTML/embim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ublicprocurementguides.treasury.gov.cy/OHS-GR/HTML/embim96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Οι καθαρές ταμειακές ροές μπορεί να είναι θετικά ή αρνητικά μεγέθη. Οι θετικές ταμειακές ροές σημαίνουν κέρδος για τη δεδομένη περίοδο (</w:t>
            </w:r>
            <w:r w:rsidRPr="005C5745">
              <w:rPr>
                <w:rFonts w:ascii="Verdana" w:eastAsia="Times New Roman" w:hAnsi="Verdana" w:cs="Times New Roman"/>
                <w:i/>
                <w:iCs/>
                <w:color w:val="000000"/>
                <w:sz w:val="18"/>
                <w:szCs w:val="18"/>
                <w:lang w:val="el-GR" w:eastAsia="en-GB"/>
              </w:rPr>
              <w:t>δηλαδή τα έσοδα/οφέλη είναι μεγαλύτερα από το κόστος</w:t>
            </w:r>
            <w:r w:rsidRPr="005C5745">
              <w:rPr>
                <w:rFonts w:ascii="Verdana" w:eastAsia="Times New Roman" w:hAnsi="Verdana" w:cs="Times New Roman"/>
                <w:color w:val="000000"/>
                <w:sz w:val="18"/>
                <w:szCs w:val="18"/>
                <w:lang w:val="el-GR" w:eastAsia="en-GB"/>
              </w:rPr>
              <w:t>), ενώ οι αρνητικές ταμειακές ροές σημαίνουν ζημία</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r w:rsidRPr="005C5745">
              <w:rPr>
                <w:rFonts w:ascii="Verdana" w:eastAsia="Times New Roman" w:hAnsi="Verdana" w:cs="Times New Roman"/>
                <w:i/>
                <w:iCs/>
                <w:color w:val="000000"/>
                <w:sz w:val="18"/>
                <w:szCs w:val="18"/>
                <w:lang w:val="el-GR" w:eastAsia="en-GB"/>
              </w:rPr>
              <w:t>δηλαδή το κόστος είναι μεγαλύτερο από τα έσοδα/οφέλη</w:t>
            </w:r>
            <w:r w:rsidRPr="005C5745">
              <w:rPr>
                <w:rFonts w:ascii="Verdana" w:eastAsia="Times New Roman" w:hAnsi="Verdana" w:cs="Times New Roman"/>
                <w:color w:val="000000"/>
                <w:sz w:val="18"/>
                <w:szCs w:val="18"/>
                <w:lang w:val="el-GR" w:eastAsia="en-GB"/>
              </w:rPr>
              <w:t xml:space="preserve">). </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r w:rsidRPr="005C5745">
              <w:rPr>
                <w:rFonts w:ascii="Verdana" w:eastAsia="Times New Roman" w:hAnsi="Verdana" w:cs="Times New Roman"/>
                <w:color w:val="000000"/>
                <w:sz w:val="18"/>
                <w:szCs w:val="18"/>
                <w:lang w:eastAsia="en-GB"/>
              </w:rPr>
              <w:t> </w:t>
            </w:r>
          </w:p>
          <w:tbl>
            <w:tblPr>
              <w:tblW w:w="0" w:type="auto"/>
              <w:shd w:val="clear" w:color="auto" w:fill="CCFFFF"/>
              <w:tblCellMar>
                <w:left w:w="0" w:type="dxa"/>
                <w:right w:w="0" w:type="dxa"/>
              </w:tblCellMar>
              <w:tblLook w:val="04A0" w:firstRow="1" w:lastRow="0" w:firstColumn="1" w:lastColumn="0" w:noHBand="0" w:noVBand="1"/>
            </w:tblPr>
            <w:tblGrid>
              <w:gridCol w:w="13792"/>
            </w:tblGrid>
            <w:tr w:rsidR="005C5745" w:rsidRPr="005C5745" w14:paraId="199F72F4" w14:textId="77777777" w:rsidTr="005C5745">
              <w:tc>
                <w:tcPr>
                  <w:tcW w:w="0" w:type="auto"/>
                  <w:tcBorders>
                    <w:top w:val="single" w:sz="6" w:space="0" w:color="000000"/>
                    <w:left w:val="single" w:sz="6" w:space="0" w:color="000000"/>
                    <w:bottom w:val="single" w:sz="6" w:space="0" w:color="000000"/>
                    <w:right w:val="single" w:sz="6" w:space="0" w:color="000000"/>
                  </w:tcBorders>
                  <w:shd w:val="clear" w:color="auto" w:fill="CCFFFF"/>
                  <w:hideMark/>
                </w:tcPr>
                <w:p w14:paraId="0DDAB005"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Οι προβλεπόμενες ταμειακές ροές των δύο επιλογών για την περίοδο ανάλυσης των 10 ετών, καθώς και οι υπολογισμένες καθαρές ταμειακές ροές για κάθε επιλογή, παρουσιάζονται στους ακόλουθους δύο πίνακες.</w:t>
                  </w:r>
                </w:p>
              </w:tc>
            </w:tr>
          </w:tbl>
          <w:p w14:paraId="1509CAE4"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eastAsia="en-GB"/>
              </w:rPr>
              <w:t> </w:t>
            </w:r>
          </w:p>
          <w:p w14:paraId="33B954E9"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6"/>
                <w:szCs w:val="16"/>
                <w:lang w:val="el-GR" w:eastAsia="en-GB"/>
              </w:rPr>
              <w:t>Πίνακας 1: Καθαρές Ταμειακές Ροές Επιλογής 1 (να μην επενδυθεί €1 εκ.)</w:t>
            </w:r>
          </w:p>
          <w:p w14:paraId="67FB3E71" w14:textId="77777777" w:rsidR="005C5745" w:rsidRPr="005C5745" w:rsidRDefault="005C5745" w:rsidP="005C5745">
            <w:pPr>
              <w:spacing w:before="120" w:after="0" w:line="240" w:lineRule="auto"/>
              <w:jc w:val="both"/>
              <w:rPr>
                <w:rFonts w:ascii="Verdana" w:eastAsia="Times New Roman" w:hAnsi="Verdana" w:cs="Times New Roman"/>
                <w:color w:val="000000"/>
                <w:sz w:val="18"/>
                <w:szCs w:val="18"/>
                <w:lang w:eastAsia="en-GB"/>
              </w:rPr>
            </w:pPr>
            <w:r w:rsidRPr="005C5745">
              <w:rPr>
                <w:rFonts w:ascii="Verdana" w:eastAsia="Times New Roman" w:hAnsi="Verdana" w:cs="Times New Roman"/>
                <w:noProof/>
                <w:color w:val="000000"/>
                <w:sz w:val="18"/>
                <w:szCs w:val="18"/>
                <w:lang w:eastAsia="en-GB"/>
              </w:rPr>
              <w:lastRenderedPageBreak/>
              <w:drawing>
                <wp:inline distT="0" distB="0" distL="0" distR="0" wp14:anchorId="0B24E3CC" wp14:editId="2143AF40">
                  <wp:extent cx="9048750" cy="2400300"/>
                  <wp:effectExtent l="0" t="0" r="0" b="0"/>
                  <wp:docPr id="12" name="Picture 12" descr="http://www.publicprocurementguides.treasury.gov.cy/OHS-GR/HTML/embim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ublicprocurementguides.treasury.gov.cy/OHS-GR/HTML/embim96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0" cy="2400300"/>
                          </a:xfrm>
                          <a:prstGeom prst="rect">
                            <a:avLst/>
                          </a:prstGeom>
                          <a:noFill/>
                          <a:ln>
                            <a:noFill/>
                          </a:ln>
                        </pic:spPr>
                      </pic:pic>
                    </a:graphicData>
                  </a:graphic>
                </wp:inline>
              </w:drawing>
            </w:r>
          </w:p>
          <w:p w14:paraId="2C97600D"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6"/>
                <w:szCs w:val="16"/>
                <w:lang w:eastAsia="en-GB"/>
              </w:rPr>
              <w:t> </w:t>
            </w:r>
          </w:p>
          <w:p w14:paraId="464C94E2"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6"/>
                <w:szCs w:val="16"/>
                <w:lang w:val="el-GR" w:eastAsia="en-GB"/>
              </w:rPr>
              <w:t>Πίνακας 2: Καθαρές Ταμειακές Ροές Επιλογής 2 (να επενδυθεί €1 εκ.)</w:t>
            </w:r>
          </w:p>
          <w:p w14:paraId="02F88ADB" w14:textId="77777777" w:rsidR="005C5745" w:rsidRPr="005C5745" w:rsidRDefault="005C5745" w:rsidP="005C5745">
            <w:pPr>
              <w:spacing w:before="120" w:after="0" w:line="240" w:lineRule="auto"/>
              <w:jc w:val="both"/>
              <w:rPr>
                <w:rFonts w:ascii="Verdana" w:eastAsia="Times New Roman" w:hAnsi="Verdana" w:cs="Times New Roman"/>
                <w:color w:val="000000"/>
                <w:sz w:val="18"/>
                <w:szCs w:val="18"/>
                <w:lang w:eastAsia="en-GB"/>
              </w:rPr>
            </w:pPr>
            <w:r w:rsidRPr="005C5745">
              <w:rPr>
                <w:rFonts w:ascii="Verdana" w:eastAsia="Times New Roman" w:hAnsi="Verdana" w:cs="Times New Roman"/>
                <w:noProof/>
                <w:color w:val="000000"/>
                <w:sz w:val="18"/>
                <w:szCs w:val="18"/>
                <w:lang w:eastAsia="en-GB"/>
              </w:rPr>
              <w:drawing>
                <wp:inline distT="0" distB="0" distL="0" distR="0" wp14:anchorId="3CA6EF2F" wp14:editId="6B32BC1B">
                  <wp:extent cx="9077325" cy="2362200"/>
                  <wp:effectExtent l="0" t="0" r="9525" b="0"/>
                  <wp:docPr id="13" name="Picture 13" descr="http://www.publicprocurementguides.treasury.gov.cy/OHS-GR/HTML/embim9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ublicprocurementguides.treasury.gov.cy/OHS-GR/HTML/embim96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7325" cy="2362200"/>
                          </a:xfrm>
                          <a:prstGeom prst="rect">
                            <a:avLst/>
                          </a:prstGeom>
                          <a:noFill/>
                          <a:ln>
                            <a:noFill/>
                          </a:ln>
                        </pic:spPr>
                      </pic:pic>
                    </a:graphicData>
                  </a:graphic>
                </wp:inline>
              </w:drawing>
            </w:r>
          </w:p>
          <w:p w14:paraId="13F3A47D" w14:textId="77777777" w:rsidR="005C5745" w:rsidRPr="005C5745" w:rsidRDefault="005C5745" w:rsidP="005C5745">
            <w:pPr>
              <w:spacing w:before="120" w:after="0"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8"/>
                <w:szCs w:val="18"/>
                <w:lang w:eastAsia="en-GB"/>
              </w:rPr>
              <w:t> </w:t>
            </w:r>
          </w:p>
          <w:p w14:paraId="04FA1A58" w14:textId="77777777" w:rsidR="005C5745" w:rsidRPr="005C5745" w:rsidRDefault="005C5745" w:rsidP="005C5745">
            <w:pPr>
              <w:pBdr>
                <w:top w:val="single" w:sz="6" w:space="1" w:color="000000"/>
                <w:left w:val="single" w:sz="6" w:space="4" w:color="000000"/>
                <w:bottom w:val="single" w:sz="6" w:space="1" w:color="000000"/>
                <w:right w:val="single" w:sz="6" w:space="4" w:color="000000"/>
              </w:pBdr>
              <w:shd w:val="clear" w:color="auto" w:fill="FFFF99"/>
              <w:spacing w:before="30" w:after="30"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Προεξόφληση των Ταμειακών Ροών σε Παρούσες Αξίες</w:t>
            </w:r>
          </w:p>
          <w:p w14:paraId="09D15EAA"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lastRenderedPageBreak/>
              <w:t xml:space="preserve">Καθώς οι ταμειακές ροές συμβαίνουν συνήθως σε διαφορετικές χρονικές στιγμές, δεν είναι σωστό να αντιμετωπίζονται σα να έχουν όλες την ίδια βαρύτητα. Για το λόγο αυτό, οι μελλοντικές ταμειακές ροές θα πρέπει να ανάγονται σε παρούσες αξίες ή αλλιώς να </w:t>
            </w:r>
            <w:proofErr w:type="spellStart"/>
            <w:r w:rsidRPr="005C5745">
              <w:rPr>
                <w:rFonts w:ascii="Verdana" w:eastAsia="Times New Roman" w:hAnsi="Verdana" w:cs="Times New Roman"/>
                <w:color w:val="000000"/>
                <w:sz w:val="18"/>
                <w:szCs w:val="18"/>
                <w:lang w:val="el-GR" w:eastAsia="en-GB"/>
              </w:rPr>
              <w:t>προεξοφλούνται</w:t>
            </w:r>
            <w:proofErr w:type="spellEnd"/>
            <w:r w:rsidRPr="005C5745">
              <w:rPr>
                <w:rFonts w:ascii="Verdana" w:eastAsia="Times New Roman" w:hAnsi="Verdana" w:cs="Times New Roman"/>
                <w:color w:val="000000"/>
                <w:sz w:val="18"/>
                <w:szCs w:val="18"/>
                <w:lang w:val="el-GR" w:eastAsia="en-GB"/>
              </w:rPr>
              <w:t xml:space="preserve"> (να τους αποδίδεται μικρότερη βαρύτητα) ώστε να είναι συγκρίσιμες με τις ταμειακές ροές που συμβαίνουν νωρίτερα. Η τεχνική προεξόφλησης βασίζεται στην ιδέα ότι ο περισσότερος κόσμος θα προτιμούσε να λάβει ένα ευρώ σήμερα παρά να λάβει ένα ευρώ σε έναν χρόνο. Αυτό είναι γνωστό ως </w:t>
            </w:r>
            <w:r w:rsidRPr="005C5745">
              <w:rPr>
                <w:rFonts w:ascii="Verdana" w:eastAsia="Times New Roman" w:hAnsi="Verdana" w:cs="Times New Roman"/>
                <w:i/>
                <w:iCs/>
                <w:color w:val="000000"/>
                <w:sz w:val="18"/>
                <w:szCs w:val="18"/>
                <w:lang w:val="el-GR" w:eastAsia="en-GB"/>
              </w:rPr>
              <w:t>χρονική προτίμηση</w:t>
            </w:r>
            <w:r w:rsidRPr="005C5745">
              <w:rPr>
                <w:rFonts w:ascii="Verdana" w:eastAsia="Times New Roman" w:hAnsi="Verdana" w:cs="Times New Roman"/>
                <w:color w:val="000000"/>
                <w:sz w:val="18"/>
                <w:szCs w:val="18"/>
                <w:lang w:val="el-GR" w:eastAsia="en-GB"/>
              </w:rPr>
              <w:t xml:space="preserve"> (</w:t>
            </w:r>
            <w:r w:rsidRPr="005C5745">
              <w:rPr>
                <w:rFonts w:ascii="Verdana" w:eastAsia="Times New Roman" w:hAnsi="Verdana" w:cs="Times New Roman"/>
                <w:i/>
                <w:iCs/>
                <w:color w:val="000000"/>
                <w:sz w:val="18"/>
                <w:szCs w:val="18"/>
                <w:lang w:eastAsia="en-GB"/>
              </w:rPr>
              <w:t>time</w:t>
            </w:r>
            <w:r w:rsidRPr="005C5745">
              <w:rPr>
                <w:rFonts w:ascii="Verdana" w:eastAsia="Times New Roman" w:hAnsi="Verdana" w:cs="Times New Roman"/>
                <w:i/>
                <w:iCs/>
                <w:color w:val="000000"/>
                <w:sz w:val="18"/>
                <w:szCs w:val="18"/>
                <w:lang w:val="el-GR" w:eastAsia="en-GB"/>
              </w:rPr>
              <w:t xml:space="preserve"> </w:t>
            </w:r>
            <w:r w:rsidRPr="005C5745">
              <w:rPr>
                <w:rFonts w:ascii="Verdana" w:eastAsia="Times New Roman" w:hAnsi="Verdana" w:cs="Times New Roman"/>
                <w:i/>
                <w:iCs/>
                <w:color w:val="000000"/>
                <w:sz w:val="18"/>
                <w:szCs w:val="18"/>
                <w:lang w:eastAsia="en-GB"/>
              </w:rPr>
              <w:t>preference</w:t>
            </w:r>
            <w:r w:rsidRPr="005C5745">
              <w:rPr>
                <w:rFonts w:ascii="Verdana" w:eastAsia="Times New Roman" w:hAnsi="Verdana" w:cs="Times New Roman"/>
                <w:color w:val="000000"/>
                <w:sz w:val="18"/>
                <w:szCs w:val="18"/>
                <w:lang w:val="el-GR" w:eastAsia="en-GB"/>
              </w:rPr>
              <w:t xml:space="preserve">) ή </w:t>
            </w:r>
            <w:r w:rsidRPr="005C5745">
              <w:rPr>
                <w:rFonts w:ascii="Verdana" w:eastAsia="Times New Roman" w:hAnsi="Verdana" w:cs="Times New Roman"/>
                <w:i/>
                <w:iCs/>
                <w:color w:val="000000"/>
                <w:sz w:val="18"/>
                <w:szCs w:val="18"/>
                <w:lang w:val="el-GR" w:eastAsia="en-GB"/>
              </w:rPr>
              <w:t>χρονική αξία του χρήματος</w:t>
            </w:r>
            <w:r w:rsidRPr="005C5745">
              <w:rPr>
                <w:rFonts w:ascii="Verdana" w:eastAsia="Times New Roman" w:hAnsi="Verdana" w:cs="Times New Roman"/>
                <w:color w:val="000000"/>
                <w:sz w:val="18"/>
                <w:szCs w:val="18"/>
                <w:lang w:val="el-GR" w:eastAsia="en-GB"/>
              </w:rPr>
              <w:t xml:space="preserve">. </w:t>
            </w:r>
          </w:p>
          <w:p w14:paraId="4029582E"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Η προεξόφληση ταμειακών ροών σε παρούσες αξίες μπορεί να γίνει εύκολα με τη χρήση της σχετικής συνάρτησης σε ένα φύλλο εργασίας του </w:t>
            </w:r>
            <w:r w:rsidRPr="005C5745">
              <w:rPr>
                <w:rFonts w:ascii="Verdana" w:eastAsia="Times New Roman" w:hAnsi="Verdana" w:cs="Times New Roman"/>
                <w:color w:val="000000"/>
                <w:sz w:val="18"/>
                <w:szCs w:val="18"/>
                <w:lang w:eastAsia="en-GB"/>
              </w:rPr>
              <w:t>Excel</w:t>
            </w:r>
            <w:r w:rsidRPr="005C5745">
              <w:rPr>
                <w:rFonts w:ascii="Verdana" w:eastAsia="Times New Roman" w:hAnsi="Verdana" w:cs="Times New Roman"/>
                <w:color w:val="000000"/>
                <w:sz w:val="18"/>
                <w:szCs w:val="18"/>
                <w:lang w:val="el-GR" w:eastAsia="en-GB"/>
              </w:rPr>
              <w:t>. Ωστόσο, η προεξόφληση μίας μελλοντικής αξίας μπορεί επίσης να πραγματοποιηθεί «με το χέρι» εφαρμόζοντας τον ακόλουθο τύπο:</w:t>
            </w:r>
          </w:p>
          <w:p w14:paraId="0D28ADF0"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eastAsia="en-GB"/>
              </w:rPr>
              <w:t> </w:t>
            </w:r>
          </w:p>
          <w:p w14:paraId="6CA57FC4"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noProof/>
                <w:color w:val="000000"/>
                <w:sz w:val="18"/>
                <w:szCs w:val="18"/>
                <w:lang w:eastAsia="en-GB"/>
              </w:rPr>
              <w:drawing>
                <wp:inline distT="0" distB="0" distL="0" distR="0" wp14:anchorId="14675671" wp14:editId="5B6BDFA0">
                  <wp:extent cx="5676900" cy="228600"/>
                  <wp:effectExtent l="0" t="0" r="0" b="0"/>
                  <wp:docPr id="14" name="Picture 14" descr="http://www.publicprocurementguides.treasury.gov.cy/OHS-GR/HTML/embim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ublicprocurementguides.treasury.gov.cy/OHS-GR/HTML/embim96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228600"/>
                          </a:xfrm>
                          <a:prstGeom prst="rect">
                            <a:avLst/>
                          </a:prstGeom>
                          <a:noFill/>
                          <a:ln>
                            <a:noFill/>
                          </a:ln>
                        </pic:spPr>
                      </pic:pic>
                    </a:graphicData>
                  </a:graphic>
                </wp:inline>
              </w:drawing>
            </w:r>
          </w:p>
          <w:p w14:paraId="24236928"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eastAsia="en-GB"/>
              </w:rPr>
            </w:pPr>
            <w:r w:rsidRPr="005C5745">
              <w:rPr>
                <w:rFonts w:ascii="Verdana" w:eastAsia="Times New Roman" w:hAnsi="Verdana" w:cs="Times New Roman"/>
                <w:color w:val="000000"/>
                <w:sz w:val="18"/>
                <w:szCs w:val="18"/>
                <w:lang w:eastAsia="en-GB"/>
              </w:rPr>
              <w:t> </w:t>
            </w:r>
          </w:p>
          <w:p w14:paraId="7D85ED2F"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noProof/>
                <w:color w:val="000000"/>
                <w:sz w:val="18"/>
                <w:szCs w:val="18"/>
                <w:lang w:eastAsia="en-GB"/>
              </w:rPr>
              <w:drawing>
                <wp:inline distT="0" distB="0" distL="0" distR="0" wp14:anchorId="546EEE44" wp14:editId="3EB78B2F">
                  <wp:extent cx="5753100" cy="428625"/>
                  <wp:effectExtent l="0" t="0" r="0" b="9525"/>
                  <wp:docPr id="15" name="Picture 15" descr="http://www.publicprocurementguides.treasury.gov.cy/OHS-GR/HTML/embim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ublicprocurementguides.treasury.gov.cy/OHS-GR/HTML/embim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28625"/>
                          </a:xfrm>
                          <a:prstGeom prst="rect">
                            <a:avLst/>
                          </a:prstGeom>
                          <a:noFill/>
                          <a:ln>
                            <a:noFill/>
                          </a:ln>
                        </pic:spPr>
                      </pic:pic>
                    </a:graphicData>
                  </a:graphic>
                </wp:inline>
              </w:drawing>
            </w:r>
          </w:p>
          <w:p w14:paraId="15E9131F"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eastAsia="en-GB"/>
              </w:rPr>
              <w:t> </w:t>
            </w:r>
          </w:p>
          <w:p w14:paraId="298F473B"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Το </w:t>
            </w:r>
            <w:r w:rsidRPr="005C5745">
              <w:rPr>
                <w:rFonts w:ascii="Verdana" w:eastAsia="Times New Roman" w:hAnsi="Verdana" w:cs="Times New Roman"/>
                <w:b/>
                <w:bCs/>
                <w:color w:val="000080"/>
                <w:sz w:val="18"/>
                <w:szCs w:val="18"/>
                <w:lang w:val="el-GR" w:eastAsia="en-GB"/>
              </w:rPr>
              <w:t>προεξοφλητικό επιτόκιο (</w:t>
            </w:r>
            <w:r w:rsidRPr="005C5745">
              <w:rPr>
                <w:rFonts w:ascii="Verdana" w:eastAsia="Times New Roman" w:hAnsi="Verdana" w:cs="Times New Roman"/>
                <w:b/>
                <w:bCs/>
                <w:color w:val="000080"/>
                <w:sz w:val="18"/>
                <w:szCs w:val="18"/>
                <w:lang w:eastAsia="en-GB"/>
              </w:rPr>
              <w:t>discount</w:t>
            </w:r>
            <w:r w:rsidRPr="005C5745">
              <w:rPr>
                <w:rFonts w:ascii="Verdana" w:eastAsia="Times New Roman" w:hAnsi="Verdana" w:cs="Times New Roman"/>
                <w:b/>
                <w:bCs/>
                <w:color w:val="000080"/>
                <w:sz w:val="18"/>
                <w:szCs w:val="18"/>
                <w:lang w:val="el-GR" w:eastAsia="en-GB"/>
              </w:rPr>
              <w:t xml:space="preserve"> </w:t>
            </w:r>
            <w:r w:rsidRPr="005C5745">
              <w:rPr>
                <w:rFonts w:ascii="Verdana" w:eastAsia="Times New Roman" w:hAnsi="Verdana" w:cs="Times New Roman"/>
                <w:b/>
                <w:bCs/>
                <w:color w:val="000080"/>
                <w:sz w:val="18"/>
                <w:szCs w:val="18"/>
                <w:lang w:eastAsia="en-GB"/>
              </w:rPr>
              <w:t>rate</w:t>
            </w:r>
            <w:r w:rsidRPr="005C5745">
              <w:rPr>
                <w:rFonts w:ascii="Verdana" w:eastAsia="Times New Roman" w:hAnsi="Verdana" w:cs="Times New Roman"/>
                <w:b/>
                <w:bCs/>
                <w:color w:val="000080"/>
                <w:sz w:val="18"/>
                <w:szCs w:val="18"/>
                <w:lang w:val="el-GR" w:eastAsia="en-GB"/>
              </w:rPr>
              <w:t>)</w:t>
            </w:r>
            <w:r w:rsidRPr="005C5745">
              <w:rPr>
                <w:rFonts w:ascii="Verdana" w:eastAsia="Times New Roman" w:hAnsi="Verdana" w:cs="Times New Roman"/>
                <w:color w:val="000000"/>
                <w:sz w:val="18"/>
                <w:szCs w:val="18"/>
                <w:lang w:val="el-GR" w:eastAsia="en-GB"/>
              </w:rPr>
              <w:t xml:space="preserve"> είναι το ποσοστό επί τοις εκατό με βάση το οποίο οι μελλοντικές αξίες ανάγονται σε παρούσες αξίες. Θεωρείται ότι ισούται κατά προσέγγιση με το κόστος ευκαιρίας κεφαλαίου. Για παράδειγμα, €1 που επενδύεται με ετήσιο προεξοφλητικό επιτόκιο 5% θα είναι 1+ 5%= €1,05 μετά από ένα χρόνο, (1,05) </w:t>
            </w:r>
            <w:r w:rsidRPr="005C5745">
              <w:rPr>
                <w:rFonts w:ascii="Verdana" w:eastAsia="Times New Roman" w:hAnsi="Verdana" w:cs="Times New Roman"/>
                <w:color w:val="000000"/>
                <w:sz w:val="18"/>
                <w:szCs w:val="18"/>
                <w:lang w:eastAsia="en-GB"/>
              </w:rPr>
              <w:t>x</w:t>
            </w:r>
            <w:r w:rsidRPr="005C5745">
              <w:rPr>
                <w:rFonts w:ascii="Verdana" w:eastAsia="Times New Roman" w:hAnsi="Verdana" w:cs="Times New Roman"/>
                <w:color w:val="000000"/>
                <w:sz w:val="18"/>
                <w:szCs w:val="18"/>
                <w:lang w:val="el-GR" w:eastAsia="en-GB"/>
              </w:rPr>
              <w:t xml:space="preserve"> (1,05)= €1,1025 μετά από δύο χρόνια, (1,05) </w:t>
            </w:r>
            <w:r w:rsidRPr="005C5745">
              <w:rPr>
                <w:rFonts w:ascii="Verdana" w:eastAsia="Times New Roman" w:hAnsi="Verdana" w:cs="Times New Roman"/>
                <w:color w:val="000000"/>
                <w:sz w:val="18"/>
                <w:szCs w:val="18"/>
                <w:lang w:eastAsia="en-GB"/>
              </w:rPr>
              <w:t>x</w:t>
            </w:r>
            <w:r w:rsidRPr="005C5745">
              <w:rPr>
                <w:rFonts w:ascii="Verdana" w:eastAsia="Times New Roman" w:hAnsi="Verdana" w:cs="Times New Roman"/>
                <w:color w:val="000000"/>
                <w:sz w:val="18"/>
                <w:szCs w:val="18"/>
                <w:lang w:val="el-GR" w:eastAsia="en-GB"/>
              </w:rPr>
              <w:t xml:space="preserve"> (1,05) </w:t>
            </w:r>
            <w:r w:rsidRPr="005C5745">
              <w:rPr>
                <w:rFonts w:ascii="Verdana" w:eastAsia="Times New Roman" w:hAnsi="Verdana" w:cs="Times New Roman"/>
                <w:color w:val="000000"/>
                <w:sz w:val="18"/>
                <w:szCs w:val="18"/>
                <w:lang w:eastAsia="en-GB"/>
              </w:rPr>
              <w:t>x</w:t>
            </w:r>
            <w:r w:rsidRPr="005C5745">
              <w:rPr>
                <w:rFonts w:ascii="Verdana" w:eastAsia="Times New Roman" w:hAnsi="Verdana" w:cs="Times New Roman"/>
                <w:color w:val="000000"/>
                <w:sz w:val="18"/>
                <w:szCs w:val="18"/>
                <w:lang w:val="el-GR" w:eastAsia="en-GB"/>
              </w:rPr>
              <w:t xml:space="preserve"> (1,05)= €1,157625 μετά από τρία χρόνια, κ.λπ. Από την άλλη πλευρά, η </w:t>
            </w:r>
            <w:proofErr w:type="spellStart"/>
            <w:r w:rsidRPr="005C5745">
              <w:rPr>
                <w:rFonts w:ascii="Verdana" w:eastAsia="Times New Roman" w:hAnsi="Verdana" w:cs="Times New Roman"/>
                <w:color w:val="000000"/>
                <w:sz w:val="18"/>
                <w:szCs w:val="18"/>
                <w:lang w:val="el-GR" w:eastAsia="en-GB"/>
              </w:rPr>
              <w:t>προεξοφλημένη</w:t>
            </w:r>
            <w:proofErr w:type="spellEnd"/>
            <w:r w:rsidRPr="005C5745">
              <w:rPr>
                <w:rFonts w:ascii="Verdana" w:eastAsia="Times New Roman" w:hAnsi="Verdana" w:cs="Times New Roman"/>
                <w:color w:val="000000"/>
                <w:sz w:val="18"/>
                <w:szCs w:val="18"/>
                <w:lang w:val="el-GR" w:eastAsia="en-GB"/>
              </w:rPr>
              <w:t xml:space="preserve"> οικονομική αξία ενός ευρώ που θα δαπανηθεί ή θα κερδηθεί σε δύο χρόνια είναι 1/1,1025= €0,907029, σε τρία χρόνια 1/1,57625= €0,863838. </w:t>
            </w:r>
          </w:p>
          <w:p w14:paraId="78AC7A65"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drawing>
                <wp:inline distT="0" distB="0" distL="0" distR="0" wp14:anchorId="226353CE" wp14:editId="5792D57C">
                  <wp:extent cx="381000" cy="304800"/>
                  <wp:effectExtent l="0" t="0" r="0" b="0"/>
                  <wp:docPr id="16" name="Picture 16" descr="http://www.publicprocurementguides.treasury.gov.cy/OHS-GR/HTML/embim9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ublicprocurementguides.treasury.gov.cy/OHS-GR/HTML/embim96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 xml:space="preserve">Δεν υπάρχει ένα προεξοφλητικό επιτόκιο για όλα τα Έργα. Ωστόσο, ένα λογικό </w:t>
            </w:r>
            <w:r w:rsidRPr="005C5745">
              <w:rPr>
                <w:rFonts w:ascii="Verdana" w:eastAsia="Times New Roman" w:hAnsi="Verdana" w:cs="Times New Roman"/>
                <w:b/>
                <w:bCs/>
                <w:color w:val="000000"/>
                <w:sz w:val="18"/>
                <w:szCs w:val="18"/>
                <w:lang w:val="el-GR" w:eastAsia="en-GB"/>
              </w:rPr>
              <w:t>επιτόκιο προεξόφλησης για χρήση στην Ανάλυση Κόστους-Οφέλους για Έργα δημοσίων επενδύσεων κυμαίνεται μεταξύ του 5% και του 10%</w:t>
            </w:r>
            <w:r w:rsidRPr="005C5745">
              <w:rPr>
                <w:rFonts w:ascii="Verdana" w:eastAsia="Times New Roman" w:hAnsi="Verdana" w:cs="Times New Roman"/>
                <w:color w:val="000000"/>
                <w:sz w:val="18"/>
                <w:szCs w:val="18"/>
                <w:lang w:val="el-GR" w:eastAsia="en-GB"/>
              </w:rPr>
              <w:t>, ανάλογα με τον τύπο του υπό εξέταση Έργου και τυχόν επίσημων οδηγιών (εθνικών ή της ΕΕ). Ανεξάρτητα από το προεξοφλητικό επιτόκιο που επιλέγεται, θα πρέπει να δίνεται προσοχή στην αφαίρεση της επίδρασης του πληθωρισμού αν οι ταμειακές ροές εκφράζονται σε τρέχουσες τιμές.</w:t>
            </w:r>
          </w:p>
          <w:tbl>
            <w:tblPr>
              <w:tblW w:w="0" w:type="auto"/>
              <w:shd w:val="clear" w:color="auto" w:fill="CCFFFF"/>
              <w:tblCellMar>
                <w:left w:w="0" w:type="dxa"/>
                <w:right w:w="0" w:type="dxa"/>
              </w:tblCellMar>
              <w:tblLook w:val="04A0" w:firstRow="1" w:lastRow="0" w:firstColumn="1" w:lastColumn="0" w:noHBand="0" w:noVBand="1"/>
            </w:tblPr>
            <w:tblGrid>
              <w:gridCol w:w="13792"/>
            </w:tblGrid>
            <w:tr w:rsidR="005C5745" w:rsidRPr="005C5745" w14:paraId="3E5B76A5" w14:textId="77777777" w:rsidTr="005C5745">
              <w:tc>
                <w:tcPr>
                  <w:tcW w:w="0" w:type="auto"/>
                  <w:tcBorders>
                    <w:top w:val="single" w:sz="6" w:space="0" w:color="000000"/>
                    <w:left w:val="single" w:sz="6" w:space="0" w:color="000000"/>
                    <w:bottom w:val="single" w:sz="6" w:space="0" w:color="000000"/>
                    <w:right w:val="single" w:sz="6" w:space="0" w:color="000000"/>
                  </w:tcBorders>
                  <w:shd w:val="clear" w:color="auto" w:fill="CCFFFF"/>
                  <w:hideMark/>
                </w:tcPr>
                <w:p w14:paraId="0BE07E57"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Στην περίπτωση που μελετάμε, επιλέγεται </w:t>
                  </w:r>
                  <w:r w:rsidRPr="005C5745">
                    <w:rPr>
                      <w:rFonts w:ascii="Verdana" w:eastAsia="Times New Roman" w:hAnsi="Verdana" w:cs="Times New Roman"/>
                      <w:b/>
                      <w:bCs/>
                      <w:color w:val="000000"/>
                      <w:sz w:val="18"/>
                      <w:szCs w:val="18"/>
                      <w:lang w:val="el-GR" w:eastAsia="en-GB"/>
                    </w:rPr>
                    <w:t>προεξοφλητικό επιτόκιο 6%</w:t>
                  </w:r>
                  <w:r w:rsidRPr="005C5745">
                    <w:rPr>
                      <w:rFonts w:ascii="Verdana" w:eastAsia="Times New Roman" w:hAnsi="Verdana" w:cs="Times New Roman"/>
                      <w:color w:val="000000"/>
                      <w:sz w:val="18"/>
                      <w:szCs w:val="18"/>
                      <w:lang w:val="el-GR" w:eastAsia="en-GB"/>
                    </w:rPr>
                    <w:t xml:space="preserve"> (σύμφωνα με τις οδηγίες της ΕΕ για τη χρηματοοικονομική ανάλυση δημόσιων επενδυτικών Έργων). Με βάση το ποσοστό αυτό, υπολογίστηκε ο συντελεστής προεξόφλησης (</w:t>
                  </w:r>
                  <w:r w:rsidRPr="005C5745">
                    <w:rPr>
                      <w:rFonts w:ascii="Verdana" w:eastAsia="Times New Roman" w:hAnsi="Verdana" w:cs="Times New Roman"/>
                      <w:color w:val="000000"/>
                      <w:sz w:val="18"/>
                      <w:szCs w:val="18"/>
                      <w:lang w:eastAsia="en-GB"/>
                    </w:rPr>
                    <w:t>discount</w:t>
                  </w:r>
                  <w:r w:rsidRPr="005C5745">
                    <w:rPr>
                      <w:rFonts w:ascii="Verdana" w:eastAsia="Times New Roman" w:hAnsi="Verdana" w:cs="Times New Roman"/>
                      <w:color w:val="000000"/>
                      <w:sz w:val="18"/>
                      <w:szCs w:val="18"/>
                      <w:lang w:val="el-GR" w:eastAsia="en-GB"/>
                    </w:rPr>
                    <w:t xml:space="preserve"> </w:t>
                  </w:r>
                  <w:r w:rsidRPr="005C5745">
                    <w:rPr>
                      <w:rFonts w:ascii="Verdana" w:eastAsia="Times New Roman" w:hAnsi="Verdana" w:cs="Times New Roman"/>
                      <w:color w:val="000000"/>
                      <w:sz w:val="18"/>
                      <w:szCs w:val="18"/>
                      <w:lang w:eastAsia="en-GB"/>
                    </w:rPr>
                    <w:t>factor</w:t>
                  </w:r>
                  <w:r w:rsidRPr="005C5745">
                    <w:rPr>
                      <w:rFonts w:ascii="Verdana" w:eastAsia="Times New Roman" w:hAnsi="Verdana" w:cs="Times New Roman"/>
                      <w:color w:val="000000"/>
                      <w:sz w:val="18"/>
                      <w:szCs w:val="18"/>
                      <w:lang w:val="el-GR" w:eastAsia="en-GB"/>
                    </w:rPr>
                    <w:t xml:space="preserve">) για κάθε έτος και, στη συνέχεια, πολλαπλασιάστηκε με την αντίστοιχη καθαρή ταμειακή ροή για τον υπολογισμό της καθαρής </w:t>
                  </w:r>
                  <w:proofErr w:type="spellStart"/>
                  <w:r w:rsidRPr="005C5745">
                    <w:rPr>
                      <w:rFonts w:ascii="Verdana" w:eastAsia="Times New Roman" w:hAnsi="Verdana" w:cs="Times New Roman"/>
                      <w:color w:val="000000"/>
                      <w:sz w:val="18"/>
                      <w:szCs w:val="18"/>
                      <w:lang w:val="el-GR" w:eastAsia="en-GB"/>
                    </w:rPr>
                    <w:t>προεξοφλημένης</w:t>
                  </w:r>
                  <w:proofErr w:type="spellEnd"/>
                  <w:r w:rsidRPr="005C5745">
                    <w:rPr>
                      <w:rFonts w:ascii="Verdana" w:eastAsia="Times New Roman" w:hAnsi="Verdana" w:cs="Times New Roman"/>
                      <w:color w:val="000000"/>
                      <w:sz w:val="18"/>
                      <w:szCs w:val="18"/>
                      <w:lang w:val="el-GR" w:eastAsia="en-GB"/>
                    </w:rPr>
                    <w:t xml:space="preserve"> ταμειακής ροής. Τα αποτελέσματα των υπολογισμών αυτών παρουσιάζονται στους ακόλουθους πίνακες.</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tc>
            </w:tr>
          </w:tbl>
          <w:p w14:paraId="55E363C5"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eastAsia="en-GB"/>
              </w:rPr>
              <w:t> </w:t>
            </w:r>
          </w:p>
          <w:p w14:paraId="0F774F84"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6"/>
                <w:szCs w:val="16"/>
                <w:lang w:val="el-GR" w:eastAsia="en-GB"/>
              </w:rPr>
              <w:t xml:space="preserve">Πίνακας 3: Καθαρές </w:t>
            </w:r>
            <w:proofErr w:type="spellStart"/>
            <w:r w:rsidRPr="005C5745">
              <w:rPr>
                <w:rFonts w:ascii="Verdana" w:eastAsia="Times New Roman" w:hAnsi="Verdana" w:cs="Times New Roman"/>
                <w:b/>
                <w:bCs/>
                <w:color w:val="000000"/>
                <w:sz w:val="16"/>
                <w:szCs w:val="16"/>
                <w:lang w:val="el-GR" w:eastAsia="en-GB"/>
              </w:rPr>
              <w:t>Προεξοφλημένες</w:t>
            </w:r>
            <w:proofErr w:type="spellEnd"/>
            <w:r w:rsidRPr="005C5745">
              <w:rPr>
                <w:rFonts w:ascii="Verdana" w:eastAsia="Times New Roman" w:hAnsi="Verdana" w:cs="Times New Roman"/>
                <w:b/>
                <w:bCs/>
                <w:color w:val="000000"/>
                <w:sz w:val="16"/>
                <w:szCs w:val="16"/>
                <w:lang w:val="el-GR" w:eastAsia="en-GB"/>
              </w:rPr>
              <w:t xml:space="preserve"> Ταμειακές Ροές Επιλογής 1 (να μην επενδυθεί €1 εκ.)</w:t>
            </w:r>
          </w:p>
          <w:p w14:paraId="6F323159"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noProof/>
                <w:color w:val="000000"/>
                <w:sz w:val="18"/>
                <w:szCs w:val="18"/>
                <w:lang w:eastAsia="en-GB"/>
              </w:rPr>
              <w:drawing>
                <wp:inline distT="0" distB="0" distL="0" distR="0" wp14:anchorId="3714D31C" wp14:editId="34F3A394">
                  <wp:extent cx="5838825" cy="457200"/>
                  <wp:effectExtent l="0" t="0" r="9525" b="0"/>
                  <wp:docPr id="17" name="Picture 17" descr="http://www.publicprocurementguides.treasury.gov.cy/OHS-GR/HTML/embim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ublicprocurementguides.treasury.gov.cy/OHS-GR/HTML/embim9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8825" cy="457200"/>
                          </a:xfrm>
                          <a:prstGeom prst="rect">
                            <a:avLst/>
                          </a:prstGeom>
                          <a:noFill/>
                          <a:ln>
                            <a:noFill/>
                          </a:ln>
                        </pic:spPr>
                      </pic:pic>
                    </a:graphicData>
                  </a:graphic>
                </wp:inline>
              </w:drawing>
            </w:r>
          </w:p>
          <w:p w14:paraId="739C1E96"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6"/>
                <w:szCs w:val="16"/>
                <w:lang w:val="el-GR" w:eastAsia="en-GB"/>
              </w:rPr>
              <w:t xml:space="preserve">Πίνακας 4: Καθαρές </w:t>
            </w:r>
            <w:proofErr w:type="spellStart"/>
            <w:r w:rsidRPr="005C5745">
              <w:rPr>
                <w:rFonts w:ascii="Verdana" w:eastAsia="Times New Roman" w:hAnsi="Verdana" w:cs="Times New Roman"/>
                <w:b/>
                <w:bCs/>
                <w:color w:val="000000"/>
                <w:sz w:val="16"/>
                <w:szCs w:val="16"/>
                <w:lang w:val="el-GR" w:eastAsia="en-GB"/>
              </w:rPr>
              <w:t>Προεξοφλημένες</w:t>
            </w:r>
            <w:proofErr w:type="spellEnd"/>
            <w:r w:rsidRPr="005C5745">
              <w:rPr>
                <w:rFonts w:ascii="Verdana" w:eastAsia="Times New Roman" w:hAnsi="Verdana" w:cs="Times New Roman"/>
                <w:b/>
                <w:bCs/>
                <w:color w:val="000000"/>
                <w:sz w:val="16"/>
                <w:szCs w:val="16"/>
                <w:lang w:val="el-GR" w:eastAsia="en-GB"/>
              </w:rPr>
              <w:t xml:space="preserve"> Ταμειακές Ροές Επιλογής 2 (να επενδυθεί €1 εκ)</w:t>
            </w:r>
          </w:p>
          <w:p w14:paraId="474E590D"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noProof/>
                <w:color w:val="000000"/>
                <w:sz w:val="18"/>
                <w:szCs w:val="18"/>
                <w:lang w:eastAsia="en-GB"/>
              </w:rPr>
              <w:lastRenderedPageBreak/>
              <w:drawing>
                <wp:inline distT="0" distB="0" distL="0" distR="0" wp14:anchorId="01D72668" wp14:editId="35E91BC1">
                  <wp:extent cx="5848350" cy="428625"/>
                  <wp:effectExtent l="0" t="0" r="0" b="9525"/>
                  <wp:docPr id="18" name="Picture 18" descr="http://www.publicprocurementguides.treasury.gov.cy/OHS-GR/HTML/embim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ublicprocurementguides.treasury.gov.cy/OHS-GR/HTML/embim97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0" cy="428625"/>
                          </a:xfrm>
                          <a:prstGeom prst="rect">
                            <a:avLst/>
                          </a:prstGeom>
                          <a:noFill/>
                          <a:ln>
                            <a:noFill/>
                          </a:ln>
                        </pic:spPr>
                      </pic:pic>
                    </a:graphicData>
                  </a:graphic>
                </wp:inline>
              </w:drawing>
            </w:r>
          </w:p>
          <w:p w14:paraId="23BB2B9B"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eastAsia="en-GB"/>
              </w:rPr>
              <w:t> </w:t>
            </w:r>
          </w:p>
          <w:p w14:paraId="5E8491A7" w14:textId="77777777" w:rsidR="005C5745" w:rsidRPr="005C5745" w:rsidRDefault="005C5745" w:rsidP="005C5745">
            <w:pPr>
              <w:pBdr>
                <w:top w:val="single" w:sz="6" w:space="1" w:color="000000"/>
                <w:left w:val="single" w:sz="6" w:space="4" w:color="000000"/>
                <w:bottom w:val="single" w:sz="6" w:space="1" w:color="000000"/>
                <w:right w:val="single" w:sz="6" w:space="4" w:color="000000"/>
              </w:pBdr>
              <w:shd w:val="clear" w:color="auto" w:fill="FFFF99"/>
              <w:spacing w:before="30" w:after="30" w:line="240" w:lineRule="auto"/>
              <w:jc w:val="both"/>
              <w:rPr>
                <w:rFonts w:ascii="Verdana" w:eastAsia="Times New Roman" w:hAnsi="Verdana" w:cs="Times New Roman"/>
                <w:color w:val="000000"/>
                <w:sz w:val="18"/>
                <w:szCs w:val="18"/>
                <w:lang w:val="el-GR" w:eastAsia="en-GB"/>
              </w:rPr>
            </w:pPr>
            <w:r w:rsidRPr="005C5745">
              <w:rPr>
                <w:rFonts w:ascii="Arial" w:eastAsia="Times New Roman" w:hAnsi="Arial" w:cs="Arial"/>
                <w:b/>
                <w:bCs/>
                <w:color w:val="000080"/>
                <w:lang w:val="el-GR" w:eastAsia="en-GB"/>
              </w:rPr>
              <w:t xml:space="preserve">Υπολογισμός Καθαρής Παρούσας Αξίας (ΚΠΑ) – Εναλλακτικές μέθοδοι αξιολόγησης για την εκλογή της προτιμώμενης επιλογής </w:t>
            </w:r>
          </w:p>
          <w:p w14:paraId="1ED4A44A"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Μία από τις παραδοσιακές και προτιμώμενες μεθόδους για την εκτίμηση των μεγεθών κόστους και των οφελών μίας επένδυσης ή ενός Έργου είναι ο υπολογισμός της </w:t>
            </w:r>
            <w:r w:rsidRPr="005C5745">
              <w:rPr>
                <w:rFonts w:ascii="Verdana" w:eastAsia="Times New Roman" w:hAnsi="Verdana" w:cs="Times New Roman"/>
                <w:b/>
                <w:bCs/>
                <w:color w:val="000080"/>
                <w:sz w:val="18"/>
                <w:szCs w:val="18"/>
                <w:lang w:val="el-GR" w:eastAsia="en-GB"/>
              </w:rPr>
              <w:t xml:space="preserve">Καθαρής Παρούσας Αξίας (ΚΠΑ) (ή </w:t>
            </w:r>
            <w:r w:rsidRPr="005C5745">
              <w:rPr>
                <w:rFonts w:ascii="Verdana" w:eastAsia="Times New Roman" w:hAnsi="Verdana" w:cs="Times New Roman"/>
                <w:b/>
                <w:bCs/>
                <w:i/>
                <w:iCs/>
                <w:color w:val="000080"/>
                <w:sz w:val="18"/>
                <w:szCs w:val="18"/>
                <w:lang w:eastAsia="en-GB"/>
              </w:rPr>
              <w:t>Net</w:t>
            </w:r>
            <w:r w:rsidRPr="005C5745">
              <w:rPr>
                <w:rFonts w:ascii="Verdana" w:eastAsia="Times New Roman" w:hAnsi="Verdana" w:cs="Times New Roman"/>
                <w:b/>
                <w:bCs/>
                <w:i/>
                <w:iCs/>
                <w:color w:val="000080"/>
                <w:sz w:val="18"/>
                <w:szCs w:val="18"/>
                <w:lang w:val="el-GR" w:eastAsia="en-GB"/>
              </w:rPr>
              <w:t xml:space="preserve"> </w:t>
            </w:r>
            <w:r w:rsidRPr="005C5745">
              <w:rPr>
                <w:rFonts w:ascii="Verdana" w:eastAsia="Times New Roman" w:hAnsi="Verdana" w:cs="Times New Roman"/>
                <w:b/>
                <w:bCs/>
                <w:i/>
                <w:iCs/>
                <w:color w:val="000080"/>
                <w:sz w:val="18"/>
                <w:szCs w:val="18"/>
                <w:lang w:eastAsia="en-GB"/>
              </w:rPr>
              <w:t>Present</w:t>
            </w:r>
            <w:r w:rsidRPr="005C5745">
              <w:rPr>
                <w:rFonts w:ascii="Verdana" w:eastAsia="Times New Roman" w:hAnsi="Verdana" w:cs="Times New Roman"/>
                <w:b/>
                <w:bCs/>
                <w:i/>
                <w:iCs/>
                <w:color w:val="000080"/>
                <w:sz w:val="18"/>
                <w:szCs w:val="18"/>
                <w:lang w:val="el-GR" w:eastAsia="en-GB"/>
              </w:rPr>
              <w:t xml:space="preserve"> </w:t>
            </w:r>
            <w:r w:rsidRPr="005C5745">
              <w:rPr>
                <w:rFonts w:ascii="Verdana" w:eastAsia="Times New Roman" w:hAnsi="Verdana" w:cs="Times New Roman"/>
                <w:b/>
                <w:bCs/>
                <w:i/>
                <w:iCs/>
                <w:color w:val="000080"/>
                <w:sz w:val="18"/>
                <w:szCs w:val="18"/>
                <w:lang w:eastAsia="en-GB"/>
              </w:rPr>
              <w:t>Value</w:t>
            </w:r>
            <w:r w:rsidRPr="005C5745">
              <w:rPr>
                <w:rFonts w:ascii="Verdana" w:eastAsia="Times New Roman" w:hAnsi="Verdana" w:cs="Times New Roman"/>
                <w:b/>
                <w:bCs/>
                <w:i/>
                <w:iCs/>
                <w:color w:val="000080"/>
                <w:sz w:val="18"/>
                <w:szCs w:val="18"/>
                <w:lang w:val="el-GR" w:eastAsia="en-GB"/>
              </w:rPr>
              <w:t xml:space="preserve"> – </w:t>
            </w:r>
            <w:r w:rsidRPr="005C5745">
              <w:rPr>
                <w:rFonts w:ascii="Verdana" w:eastAsia="Times New Roman" w:hAnsi="Verdana" w:cs="Times New Roman"/>
                <w:b/>
                <w:bCs/>
                <w:i/>
                <w:iCs/>
                <w:color w:val="000080"/>
                <w:sz w:val="18"/>
                <w:szCs w:val="18"/>
                <w:lang w:eastAsia="en-GB"/>
              </w:rPr>
              <w:t>NPV</w:t>
            </w:r>
            <w:r w:rsidRPr="005C5745">
              <w:rPr>
                <w:rFonts w:ascii="Verdana" w:eastAsia="Times New Roman" w:hAnsi="Verdana" w:cs="Times New Roman"/>
                <w:b/>
                <w:bCs/>
                <w:color w:val="000080"/>
                <w:sz w:val="18"/>
                <w:szCs w:val="18"/>
                <w:lang w:val="el-GR" w:eastAsia="en-GB"/>
              </w:rPr>
              <w:t>)</w:t>
            </w:r>
            <w:r w:rsidRPr="005C5745">
              <w:rPr>
                <w:rFonts w:ascii="Verdana" w:eastAsia="Times New Roman" w:hAnsi="Verdana" w:cs="Times New Roman"/>
                <w:color w:val="000000"/>
                <w:sz w:val="18"/>
                <w:szCs w:val="18"/>
                <w:lang w:val="el-GR" w:eastAsia="en-GB"/>
              </w:rPr>
              <w:t xml:space="preserve">. Η </w:t>
            </w:r>
            <w:r w:rsidRPr="005C5745">
              <w:rPr>
                <w:rFonts w:ascii="Verdana" w:eastAsia="Times New Roman" w:hAnsi="Verdana" w:cs="Times New Roman"/>
                <w:b/>
                <w:bCs/>
                <w:color w:val="000080"/>
                <w:sz w:val="18"/>
                <w:szCs w:val="18"/>
                <w:lang w:val="el-GR" w:eastAsia="en-GB"/>
              </w:rPr>
              <w:t>ΚΠΑ</w:t>
            </w:r>
            <w:r w:rsidRPr="005C5745">
              <w:rPr>
                <w:rFonts w:ascii="Verdana" w:eastAsia="Times New Roman" w:hAnsi="Verdana" w:cs="Times New Roman"/>
                <w:color w:val="000000"/>
                <w:sz w:val="18"/>
                <w:szCs w:val="18"/>
                <w:lang w:val="el-GR" w:eastAsia="en-GB"/>
              </w:rPr>
              <w:t xml:space="preserve"> είναι το άθροισμα των </w:t>
            </w:r>
            <w:proofErr w:type="spellStart"/>
            <w:r w:rsidRPr="005C5745">
              <w:rPr>
                <w:rFonts w:ascii="Verdana" w:eastAsia="Times New Roman" w:hAnsi="Verdana" w:cs="Times New Roman"/>
                <w:color w:val="000000"/>
                <w:sz w:val="18"/>
                <w:szCs w:val="18"/>
                <w:lang w:val="el-GR" w:eastAsia="en-GB"/>
              </w:rPr>
              <w:t>προεξοφλημένων</w:t>
            </w:r>
            <w:proofErr w:type="spellEnd"/>
            <w:r w:rsidRPr="005C5745">
              <w:rPr>
                <w:rFonts w:ascii="Verdana" w:eastAsia="Times New Roman" w:hAnsi="Verdana" w:cs="Times New Roman"/>
                <w:color w:val="000000"/>
                <w:sz w:val="18"/>
                <w:szCs w:val="18"/>
                <w:lang w:val="el-GR" w:eastAsia="en-GB"/>
              </w:rPr>
              <w:t xml:space="preserve"> καθαρών ταμειακών ροών για την περίοδο ανάλυσης. Μία θετική ΚΠΑ σημαίνει ότι η επένδυση ή το Έργο παράγει καθαρό όφελος και είναι γενικά βιώσιμη(ο) και επιθυμητή(ό).</w:t>
            </w:r>
          </w:p>
          <w:p w14:paraId="5EAF5E95"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drawing>
                <wp:inline distT="0" distB="0" distL="0" distR="0" wp14:anchorId="4ADA88E4" wp14:editId="3CC27223">
                  <wp:extent cx="400050" cy="257175"/>
                  <wp:effectExtent l="0" t="0" r="0" b="9525"/>
                  <wp:docPr id="19" name="Picture 19" descr="http://www.publicprocurementguides.treasury.gov.cy/OHS-GR/HTML/embim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ublicprocurementguides.treasury.gov.cy/OHS-GR/HTML/embim97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 xml:space="preserve">Κατά τη σύγκριση ενός αριθμού Έργων ή εναλλακτικών λύσεων, το Έργο/ η λύση με την υψηλότερη ΚΠΑ είναι το Έργο/ η λύση που θα πρέπει συνήθως να επιλέγεται. Ωστόσο, σε περιπτώσεις όπου πολλά μεγέθη κόστους και οφέλη είναι άυλα και δύσκολα </w:t>
            </w:r>
            <w:proofErr w:type="spellStart"/>
            <w:r w:rsidRPr="005C5745">
              <w:rPr>
                <w:rFonts w:ascii="Verdana" w:eastAsia="Times New Roman" w:hAnsi="Verdana" w:cs="Times New Roman"/>
                <w:color w:val="000000"/>
                <w:sz w:val="18"/>
                <w:szCs w:val="18"/>
                <w:lang w:val="el-GR" w:eastAsia="en-GB"/>
              </w:rPr>
              <w:t>ποσοτικοποιήσιμα</w:t>
            </w:r>
            <w:proofErr w:type="spellEnd"/>
            <w:r w:rsidRPr="005C5745">
              <w:rPr>
                <w:rFonts w:ascii="Verdana" w:eastAsia="Times New Roman" w:hAnsi="Verdana" w:cs="Times New Roman"/>
                <w:color w:val="000000"/>
                <w:sz w:val="18"/>
                <w:szCs w:val="18"/>
                <w:lang w:val="el-GR" w:eastAsia="en-GB"/>
              </w:rPr>
              <w:t xml:space="preserve">, η </w:t>
            </w:r>
            <w:proofErr w:type="spellStart"/>
            <w:r w:rsidRPr="005C5745">
              <w:rPr>
                <w:rFonts w:ascii="Verdana" w:eastAsia="Times New Roman" w:hAnsi="Verdana" w:cs="Times New Roman"/>
                <w:color w:val="000000"/>
                <w:sz w:val="18"/>
                <w:szCs w:val="18"/>
                <w:lang w:val="el-GR" w:eastAsia="en-GB"/>
              </w:rPr>
              <w:t>ΚΠΑ</w:t>
            </w:r>
            <w:proofErr w:type="spellEnd"/>
            <w:r w:rsidRPr="005C5745">
              <w:rPr>
                <w:rFonts w:ascii="Verdana" w:eastAsia="Times New Roman" w:hAnsi="Verdana" w:cs="Times New Roman"/>
                <w:color w:val="000000"/>
                <w:sz w:val="18"/>
                <w:szCs w:val="18"/>
                <w:lang w:val="el-GR" w:eastAsia="en-GB"/>
              </w:rPr>
              <w:t xml:space="preserve"> δεν θα πρέπει να είναι το μοναδικό κριτήριο για τη λήψη αποφάσεων. Για παράδειγμα, μία αρνητική ΚΠΑ δεν σημαίνει κατ’ ανάγκη ότι η πρόταση για μία επένδυση ή για ένα έργο θα πρέπει να απορρίπτεται, καθώς μπορεί να υπάρχουν άλλα σημαντικά ποιοτικά οφέλη (π.χ. κοινωνικά ή περιβαλλοντικά οφέλη) που ενδεχομένως να υπερισχύουν των ποσοτικών αρνητικών επιπτώσεων. Για να είναι αυστηρά συγκρίσιμες οι </w:t>
            </w:r>
            <w:proofErr w:type="spellStart"/>
            <w:r w:rsidRPr="005C5745">
              <w:rPr>
                <w:rFonts w:ascii="Verdana" w:eastAsia="Times New Roman" w:hAnsi="Verdana" w:cs="Times New Roman"/>
                <w:color w:val="000000"/>
                <w:sz w:val="18"/>
                <w:szCs w:val="18"/>
                <w:lang w:val="el-GR" w:eastAsia="en-GB"/>
              </w:rPr>
              <w:t>ΚΠΑ</w:t>
            </w:r>
            <w:proofErr w:type="spellEnd"/>
            <w:r w:rsidRPr="005C5745">
              <w:rPr>
                <w:rFonts w:ascii="Verdana" w:eastAsia="Times New Roman" w:hAnsi="Verdana" w:cs="Times New Roman"/>
                <w:color w:val="000000"/>
                <w:sz w:val="18"/>
                <w:szCs w:val="18"/>
                <w:lang w:val="el-GR" w:eastAsia="en-GB"/>
              </w:rPr>
              <w:t xml:space="preserve">, οι </w:t>
            </w:r>
            <w:proofErr w:type="spellStart"/>
            <w:r w:rsidRPr="005C5745">
              <w:rPr>
                <w:rFonts w:ascii="Verdana" w:eastAsia="Times New Roman" w:hAnsi="Verdana" w:cs="Times New Roman"/>
                <w:color w:val="000000"/>
                <w:sz w:val="18"/>
                <w:szCs w:val="18"/>
                <w:lang w:val="el-GR" w:eastAsia="en-GB"/>
              </w:rPr>
              <w:t>αξιολογηθείσες</w:t>
            </w:r>
            <w:proofErr w:type="spellEnd"/>
            <w:r w:rsidRPr="005C5745">
              <w:rPr>
                <w:rFonts w:ascii="Verdana" w:eastAsia="Times New Roman" w:hAnsi="Verdana" w:cs="Times New Roman"/>
                <w:color w:val="000000"/>
                <w:sz w:val="18"/>
                <w:szCs w:val="18"/>
                <w:lang w:val="el-GR" w:eastAsia="en-GB"/>
              </w:rPr>
              <w:t xml:space="preserve"> προτάσεις θα πρέπει να έχουν ίδια διάρκεια ζωής ή περίοδο εκτίμησης, καθώς και ίδια άυλα μεγέθη κόστους και οφέλη.</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p w14:paraId="08CC60B6"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drawing>
                <wp:inline distT="0" distB="0" distL="0" distR="0" wp14:anchorId="0AA1845B" wp14:editId="715F5027">
                  <wp:extent cx="381000" cy="304800"/>
                  <wp:effectExtent l="0" t="0" r="0" b="0"/>
                  <wp:docPr id="20" name="Picture 20" descr="http://www.publicprocurementguides.treasury.gov.cy/OHS-GR/HTML/embim9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ublicprocurementguides.treasury.gov.cy/OHS-GR/HTML/embim97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Θα πρέπει να σημειωθεί ότι η ανάλυση ΚΠΑ δεν είναι ίδια με την Ανάλυση Κόστους-Οφέλους. Η Ανάλυση Κόστους-Οφέλους είναι η γενικότερη διαδικασία εκτίμησης και επιλογής προτάσεων, ενώ η ανάλυση ΚΠΑ είναι απλώς ένα εργαλείο το οποίο μπορεί να χρησιμοποιηθεί στην Ανάλυση Κόστους-Οφέλους.</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p w14:paraId="23A6CCC8"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Άλλες </w:t>
            </w:r>
            <w:r w:rsidRPr="005C5745">
              <w:rPr>
                <w:rFonts w:ascii="Verdana" w:eastAsia="Times New Roman" w:hAnsi="Verdana" w:cs="Times New Roman"/>
                <w:b/>
                <w:bCs/>
                <w:color w:val="000000"/>
                <w:sz w:val="18"/>
                <w:szCs w:val="18"/>
                <w:lang w:val="el-GR" w:eastAsia="en-GB"/>
              </w:rPr>
              <w:t>εναλλακτικές μέθοδοι/ μέτρα για την αξιολόγηση επενδύσεων/ Έργων</w:t>
            </w:r>
            <w:r w:rsidRPr="005C5745">
              <w:rPr>
                <w:rFonts w:ascii="Verdana" w:eastAsia="Times New Roman" w:hAnsi="Verdana" w:cs="Times New Roman"/>
                <w:color w:val="000000"/>
                <w:sz w:val="18"/>
                <w:szCs w:val="18"/>
                <w:lang w:val="el-GR" w:eastAsia="en-GB"/>
              </w:rPr>
              <w:t>, που μπορούν επίσης να χρησιμοποιηθούν σε συνδυασμό με την ανάλυση ΚΠΑ, είναι οι εξής:</w:t>
            </w:r>
          </w:p>
          <w:tbl>
            <w:tblPr>
              <w:tblW w:w="0" w:type="auto"/>
              <w:tblCellSpacing w:w="0" w:type="dxa"/>
              <w:tblCellMar>
                <w:left w:w="0" w:type="dxa"/>
                <w:right w:w="0" w:type="dxa"/>
              </w:tblCellMar>
              <w:tblLook w:val="04A0" w:firstRow="1" w:lastRow="0" w:firstColumn="1" w:lastColumn="0" w:noHBand="0" w:noVBand="1"/>
            </w:tblPr>
            <w:tblGrid>
              <w:gridCol w:w="420"/>
              <w:gridCol w:w="13388"/>
            </w:tblGrid>
            <w:tr w:rsidR="005C5745" w:rsidRPr="005C5745" w14:paraId="26BCA8E6" w14:textId="77777777" w:rsidTr="005C5745">
              <w:trPr>
                <w:tblCellSpacing w:w="0" w:type="dxa"/>
              </w:trPr>
              <w:tc>
                <w:tcPr>
                  <w:tcW w:w="420" w:type="dxa"/>
                  <w:vAlign w:val="bottom"/>
                  <w:hideMark/>
                </w:tcPr>
                <w:p w14:paraId="510AE401"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29D9E1EA"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Εσωτερικός Βαθμός Απόδοσης (</w:t>
                  </w:r>
                  <w:r w:rsidRPr="005C5745">
                    <w:rPr>
                      <w:rFonts w:ascii="Verdana" w:eastAsia="Times New Roman" w:hAnsi="Verdana" w:cs="Times New Roman"/>
                      <w:b/>
                      <w:bCs/>
                      <w:color w:val="000080"/>
                      <w:sz w:val="18"/>
                      <w:szCs w:val="18"/>
                      <w:lang w:eastAsia="en-GB"/>
                    </w:rPr>
                    <w:t>Internal</w:t>
                  </w:r>
                  <w:r w:rsidRPr="005C5745">
                    <w:rPr>
                      <w:rFonts w:ascii="Verdana" w:eastAsia="Times New Roman" w:hAnsi="Verdana" w:cs="Times New Roman"/>
                      <w:b/>
                      <w:bCs/>
                      <w:color w:val="000080"/>
                      <w:sz w:val="18"/>
                      <w:szCs w:val="18"/>
                      <w:lang w:val="el-GR" w:eastAsia="en-GB"/>
                    </w:rPr>
                    <w:t xml:space="preserve"> </w:t>
                  </w:r>
                  <w:r w:rsidRPr="005C5745">
                    <w:rPr>
                      <w:rFonts w:ascii="Verdana" w:eastAsia="Times New Roman" w:hAnsi="Verdana" w:cs="Times New Roman"/>
                      <w:b/>
                      <w:bCs/>
                      <w:color w:val="000080"/>
                      <w:sz w:val="18"/>
                      <w:szCs w:val="18"/>
                      <w:lang w:eastAsia="en-GB"/>
                    </w:rPr>
                    <w:t>Rate</w:t>
                  </w:r>
                  <w:r w:rsidRPr="005C5745">
                    <w:rPr>
                      <w:rFonts w:ascii="Verdana" w:eastAsia="Times New Roman" w:hAnsi="Verdana" w:cs="Times New Roman"/>
                      <w:b/>
                      <w:bCs/>
                      <w:color w:val="000080"/>
                      <w:sz w:val="18"/>
                      <w:szCs w:val="18"/>
                      <w:lang w:val="el-GR" w:eastAsia="en-GB"/>
                    </w:rPr>
                    <w:t xml:space="preserve"> </w:t>
                  </w:r>
                  <w:r w:rsidRPr="005C5745">
                    <w:rPr>
                      <w:rFonts w:ascii="Verdana" w:eastAsia="Times New Roman" w:hAnsi="Verdana" w:cs="Times New Roman"/>
                      <w:b/>
                      <w:bCs/>
                      <w:color w:val="000080"/>
                      <w:sz w:val="18"/>
                      <w:szCs w:val="18"/>
                      <w:lang w:eastAsia="en-GB"/>
                    </w:rPr>
                    <w:t>of</w:t>
                  </w:r>
                  <w:r w:rsidRPr="005C5745">
                    <w:rPr>
                      <w:rFonts w:ascii="Verdana" w:eastAsia="Times New Roman" w:hAnsi="Verdana" w:cs="Times New Roman"/>
                      <w:b/>
                      <w:bCs/>
                      <w:color w:val="000080"/>
                      <w:sz w:val="18"/>
                      <w:szCs w:val="18"/>
                      <w:lang w:val="el-GR" w:eastAsia="en-GB"/>
                    </w:rPr>
                    <w:t xml:space="preserve"> </w:t>
                  </w:r>
                  <w:r w:rsidRPr="005C5745">
                    <w:rPr>
                      <w:rFonts w:ascii="Verdana" w:eastAsia="Times New Roman" w:hAnsi="Verdana" w:cs="Times New Roman"/>
                      <w:b/>
                      <w:bCs/>
                      <w:color w:val="000080"/>
                      <w:sz w:val="18"/>
                      <w:szCs w:val="18"/>
                      <w:lang w:eastAsia="en-GB"/>
                    </w:rPr>
                    <w:t>Return</w:t>
                  </w:r>
                  <w:r w:rsidRPr="005C5745">
                    <w:rPr>
                      <w:rFonts w:ascii="Verdana" w:eastAsia="Times New Roman" w:hAnsi="Verdana" w:cs="Times New Roman"/>
                      <w:b/>
                      <w:bCs/>
                      <w:color w:val="000080"/>
                      <w:sz w:val="18"/>
                      <w:szCs w:val="18"/>
                      <w:lang w:val="el-GR" w:eastAsia="en-GB"/>
                    </w:rPr>
                    <w:t xml:space="preserve"> – </w:t>
                  </w:r>
                  <w:r w:rsidRPr="005C5745">
                    <w:rPr>
                      <w:rFonts w:ascii="Verdana" w:eastAsia="Times New Roman" w:hAnsi="Verdana" w:cs="Times New Roman"/>
                      <w:b/>
                      <w:bCs/>
                      <w:color w:val="000080"/>
                      <w:sz w:val="18"/>
                      <w:szCs w:val="18"/>
                      <w:lang w:eastAsia="en-GB"/>
                    </w:rPr>
                    <w:t>IRR</w:t>
                  </w:r>
                  <w:r w:rsidRPr="005C5745">
                    <w:rPr>
                      <w:rFonts w:ascii="Verdana" w:eastAsia="Times New Roman" w:hAnsi="Verdana" w:cs="Times New Roman"/>
                      <w:b/>
                      <w:bCs/>
                      <w:color w:val="000080"/>
                      <w:sz w:val="18"/>
                      <w:szCs w:val="18"/>
                      <w:lang w:val="el-GR" w:eastAsia="en-GB"/>
                    </w:rPr>
                    <w:t>)</w:t>
                  </w:r>
                  <w:r w:rsidRPr="005C5745">
                    <w:rPr>
                      <w:rFonts w:ascii="Verdana" w:eastAsia="Times New Roman" w:hAnsi="Verdana" w:cs="Times New Roman"/>
                      <w:color w:val="000000"/>
                      <w:sz w:val="18"/>
                      <w:szCs w:val="18"/>
                      <w:lang w:val="el-GR" w:eastAsia="en-GB"/>
                    </w:rPr>
                    <w:t xml:space="preserve">: Ο Εσωτερικός Βαθμός Απόδοσης είναι το προεξοφλητικό επιτόκιο το οποίο αν εφαρμοστεί σε δεδομένες ταμειακές εισροές και ταμειακές εκροές θα τις εξισώσει, δηλαδή θα δώσει μηδενική ΚΠΑ. Ο Εσωτερικός Βαθμός Απόδοσης μπορεί να χρησιμοποιηθεί για την κατάταξη προτάσεων, προκειμένου όμως να αποφασιστεί αν μία επένδυση ή ένα Έργο είναι βιώσιμο, ο υπολογισμένος Εσωτερικός Βαθμός Απόδοσης θα πρέπει να συγκρίνεται με ένα ελάχιστο ποσοστό απόδοσης (απαιτούμενος βαθμός απόδοσης) και μόνο αν είναι υψηλότερος από αυτό θα πρέπει να αποφασίζετε να προχωρήσετε στην υλοποίηση της πρότασης. Ο απλούστερος και πιο ενδεδειγμένος τρόπος υπολογισμού του Εσωτερικού Βαθμού Απόδοσης είναι με τη χρήση λογιστικού φύλλου </w:t>
                  </w:r>
                  <w:r w:rsidRPr="005C5745">
                    <w:rPr>
                      <w:rFonts w:ascii="Verdana" w:eastAsia="Times New Roman" w:hAnsi="Verdana" w:cs="Times New Roman"/>
                      <w:color w:val="000000"/>
                      <w:sz w:val="18"/>
                      <w:szCs w:val="18"/>
                      <w:lang w:eastAsia="en-GB"/>
                    </w:rPr>
                    <w:t>Excel</w:t>
                  </w:r>
                  <w:r w:rsidRPr="005C5745">
                    <w:rPr>
                      <w:rFonts w:ascii="Verdana" w:eastAsia="Times New Roman" w:hAnsi="Verdana" w:cs="Times New Roman"/>
                      <w:color w:val="000000"/>
                      <w:sz w:val="18"/>
                      <w:szCs w:val="18"/>
                      <w:lang w:val="el-GR" w:eastAsia="en-GB"/>
                    </w:rPr>
                    <w:t xml:space="preserve"> και της κατάλληλης συνάρτησης. </w:t>
                  </w:r>
                </w:p>
              </w:tc>
            </w:tr>
          </w:tbl>
          <w:p w14:paraId="2EA83FB2" w14:textId="77777777" w:rsidR="005C5745" w:rsidRPr="005C5745" w:rsidRDefault="005C5745" w:rsidP="005C5745">
            <w:pPr>
              <w:spacing w:before="45" w:after="45" w:line="240" w:lineRule="auto"/>
              <w:ind w:left="420" w:hanging="15"/>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drawing>
                <wp:inline distT="0" distB="0" distL="0" distR="0" wp14:anchorId="7092D1BD" wp14:editId="4B853D51">
                  <wp:extent cx="381000" cy="304800"/>
                  <wp:effectExtent l="0" t="0" r="0" b="0"/>
                  <wp:docPr id="21" name="Picture 21" descr="http://www.publicprocurementguides.treasury.gov.cy/OHS-GR/HTML/embim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ublicprocurementguides.treasury.gov.cy/OHS-GR/HTML/embim97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 xml:space="preserve">Ωστόσο, </w:t>
            </w:r>
            <w:r w:rsidRPr="005C5745">
              <w:rPr>
                <w:rFonts w:ascii="Verdana" w:eastAsia="Times New Roman" w:hAnsi="Verdana" w:cs="Times New Roman"/>
                <w:b/>
                <w:bCs/>
                <w:color w:val="000000"/>
                <w:sz w:val="18"/>
                <w:szCs w:val="18"/>
                <w:lang w:val="el-GR" w:eastAsia="en-GB"/>
              </w:rPr>
              <w:t>υπάρχουν περιπτώσεις όπου η μέθοδος υπολογισμού του Εσωτερικού Βαθμού Απόδοσης δεν είναι αποτελεσματική</w:t>
            </w:r>
            <w:r w:rsidRPr="005C5745">
              <w:rPr>
                <w:rFonts w:ascii="Verdana" w:eastAsia="Times New Roman" w:hAnsi="Verdana" w:cs="Times New Roman"/>
                <w:color w:val="000000"/>
                <w:sz w:val="18"/>
                <w:szCs w:val="18"/>
                <w:lang w:val="el-GR" w:eastAsia="en-GB"/>
              </w:rPr>
              <w:t>. Για παράδειγμα, μπορεί να μην υπάρχει προεξοφλητικό επιτόκιο για το οποίο να προκύπτει μηδενική ΚΠΑ ή μπορεί να υπάρχουν περισσότεροι από ένας Εσωτερικοί Βαθμοί Απόδοσης ή μπορεί οι επενδύσεις/ τα έργα να είναι διαφορετικού μεγέθους. Στην τελευταία περίπτωση ένα Έργο με Καθαρή Παρούσα Αξία €1.000.000 και Εσωτερικό Βαθμό Απόδοσης 16% θα πρέπει να κρίνεται προτιμότερο από ένα έργο με Καθαρή Παρούσα Αξία €10.000 και Εσωτερικό Βαθμό Απόδοσης 20%, παρ’ όλο που έχει μικρότερο Εσωτερικό Βαθμό Απόδοσης, καθώς το μικρότερο Έργο δεν μπορεί να επαναληφθεί πολλές φορές ώστε να καλυφθεί η διαφορά με την μεγάλη Καθαρή Παρούσα Αξία του μεγαλύτερου Έργου.</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tbl>
            <w:tblPr>
              <w:tblW w:w="0" w:type="auto"/>
              <w:tblCellSpacing w:w="0" w:type="dxa"/>
              <w:tblCellMar>
                <w:left w:w="0" w:type="dxa"/>
                <w:right w:w="0" w:type="dxa"/>
              </w:tblCellMar>
              <w:tblLook w:val="04A0" w:firstRow="1" w:lastRow="0" w:firstColumn="1" w:lastColumn="0" w:noHBand="0" w:noVBand="1"/>
            </w:tblPr>
            <w:tblGrid>
              <w:gridCol w:w="420"/>
              <w:gridCol w:w="13388"/>
            </w:tblGrid>
            <w:tr w:rsidR="005C5745" w:rsidRPr="005C5745" w14:paraId="444D6D06" w14:textId="77777777" w:rsidTr="005C5745">
              <w:trPr>
                <w:tblCellSpacing w:w="0" w:type="dxa"/>
              </w:trPr>
              <w:tc>
                <w:tcPr>
                  <w:tcW w:w="420" w:type="dxa"/>
                  <w:vAlign w:val="bottom"/>
                  <w:hideMark/>
                </w:tcPr>
                <w:p w14:paraId="07A055BA"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2D056DAE"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 xml:space="preserve">Περίοδος </w:t>
                  </w:r>
                  <w:proofErr w:type="spellStart"/>
                  <w:r w:rsidRPr="005C5745">
                    <w:rPr>
                      <w:rFonts w:ascii="Verdana" w:eastAsia="Times New Roman" w:hAnsi="Verdana" w:cs="Times New Roman"/>
                      <w:b/>
                      <w:bCs/>
                      <w:color w:val="000080"/>
                      <w:sz w:val="18"/>
                      <w:szCs w:val="18"/>
                      <w:lang w:val="el-GR" w:eastAsia="en-GB"/>
                    </w:rPr>
                    <w:t>Επανείσπραξης</w:t>
                  </w:r>
                  <w:proofErr w:type="spellEnd"/>
                  <w:r w:rsidRPr="005C5745">
                    <w:rPr>
                      <w:rFonts w:ascii="Verdana" w:eastAsia="Times New Roman" w:hAnsi="Verdana" w:cs="Times New Roman"/>
                      <w:b/>
                      <w:bCs/>
                      <w:color w:val="000080"/>
                      <w:sz w:val="18"/>
                      <w:szCs w:val="18"/>
                      <w:lang w:val="el-GR" w:eastAsia="en-GB"/>
                    </w:rPr>
                    <w:t xml:space="preserve"> (</w:t>
                  </w:r>
                  <w:r w:rsidRPr="005C5745">
                    <w:rPr>
                      <w:rFonts w:ascii="Verdana" w:eastAsia="Times New Roman" w:hAnsi="Verdana" w:cs="Times New Roman"/>
                      <w:b/>
                      <w:bCs/>
                      <w:color w:val="000080"/>
                      <w:sz w:val="18"/>
                      <w:szCs w:val="18"/>
                      <w:lang w:eastAsia="en-GB"/>
                    </w:rPr>
                    <w:t>Payback</w:t>
                  </w:r>
                  <w:r w:rsidRPr="005C5745">
                    <w:rPr>
                      <w:rFonts w:ascii="Verdana" w:eastAsia="Times New Roman" w:hAnsi="Verdana" w:cs="Times New Roman"/>
                      <w:b/>
                      <w:bCs/>
                      <w:color w:val="000080"/>
                      <w:sz w:val="18"/>
                      <w:szCs w:val="18"/>
                      <w:lang w:val="el-GR" w:eastAsia="en-GB"/>
                    </w:rPr>
                    <w:t xml:space="preserve"> </w:t>
                  </w:r>
                  <w:r w:rsidRPr="005C5745">
                    <w:rPr>
                      <w:rFonts w:ascii="Verdana" w:eastAsia="Times New Roman" w:hAnsi="Verdana" w:cs="Times New Roman"/>
                      <w:b/>
                      <w:bCs/>
                      <w:color w:val="000080"/>
                      <w:sz w:val="18"/>
                      <w:szCs w:val="18"/>
                      <w:lang w:eastAsia="en-GB"/>
                    </w:rPr>
                    <w:t>Period</w:t>
                  </w:r>
                  <w:r w:rsidRPr="005C5745">
                    <w:rPr>
                      <w:rFonts w:ascii="Verdana" w:eastAsia="Times New Roman" w:hAnsi="Verdana" w:cs="Times New Roman"/>
                      <w:b/>
                      <w:bCs/>
                      <w:color w:val="000080"/>
                      <w:sz w:val="18"/>
                      <w:szCs w:val="18"/>
                      <w:lang w:val="el-GR" w:eastAsia="en-GB"/>
                    </w:rPr>
                    <w:t>)</w:t>
                  </w:r>
                  <w:r w:rsidRPr="005C5745">
                    <w:rPr>
                      <w:rFonts w:ascii="Verdana" w:eastAsia="Times New Roman" w:hAnsi="Verdana" w:cs="Times New Roman"/>
                      <w:color w:val="000000"/>
                      <w:sz w:val="18"/>
                      <w:szCs w:val="18"/>
                      <w:lang w:val="el-GR" w:eastAsia="en-GB"/>
                    </w:rPr>
                    <w:t xml:space="preserve">: Η μέθοδος αυτή προσδιορίζει τον αριθμό ετών μετά το πέρας των οποίων οι συσσωρευμένες καθαρές ταμειακές ροές ξεπερνούν το μηδέν. Βασίζεται στην ιδέα ότι το Έργο για το οποίο τα επενδυμένα κεφάλαια </w:t>
                  </w:r>
                  <w:proofErr w:type="spellStart"/>
                  <w:r w:rsidRPr="005C5745">
                    <w:rPr>
                      <w:rFonts w:ascii="Verdana" w:eastAsia="Times New Roman" w:hAnsi="Verdana" w:cs="Times New Roman"/>
                      <w:color w:val="000000"/>
                      <w:sz w:val="18"/>
                      <w:szCs w:val="18"/>
                      <w:lang w:val="el-GR" w:eastAsia="en-GB"/>
                    </w:rPr>
                    <w:t>επανεισπράττονται</w:t>
                  </w:r>
                  <w:proofErr w:type="spellEnd"/>
                  <w:r w:rsidRPr="005C5745">
                    <w:rPr>
                      <w:rFonts w:ascii="Verdana" w:eastAsia="Times New Roman" w:hAnsi="Verdana" w:cs="Times New Roman"/>
                      <w:color w:val="000000"/>
                      <w:sz w:val="18"/>
                      <w:szCs w:val="18"/>
                      <w:lang w:val="el-GR" w:eastAsia="en-GB"/>
                    </w:rPr>
                    <w:t xml:space="preserve"> γρηγορότερα αποτελεί την προτιμώμενη επένδυση, εφόσον τίθεται θέμα επιλογής. Το σκεπτικό πίσω από την ιδέα αυτή είναι ότι όσο συντομότερη είναι η περίοδος </w:t>
                  </w:r>
                  <w:proofErr w:type="spellStart"/>
                  <w:r w:rsidRPr="005C5745">
                    <w:rPr>
                      <w:rFonts w:ascii="Verdana" w:eastAsia="Times New Roman" w:hAnsi="Verdana" w:cs="Times New Roman"/>
                      <w:color w:val="000000"/>
                      <w:sz w:val="18"/>
                      <w:szCs w:val="18"/>
                      <w:lang w:val="el-GR" w:eastAsia="en-GB"/>
                    </w:rPr>
                    <w:lastRenderedPageBreak/>
                    <w:t>επανείσπραξης</w:t>
                  </w:r>
                  <w:proofErr w:type="spellEnd"/>
                  <w:r w:rsidRPr="005C5745">
                    <w:rPr>
                      <w:rFonts w:ascii="Verdana" w:eastAsia="Times New Roman" w:hAnsi="Verdana" w:cs="Times New Roman"/>
                      <w:color w:val="000000"/>
                      <w:sz w:val="18"/>
                      <w:szCs w:val="18"/>
                      <w:lang w:val="el-GR" w:eastAsia="en-GB"/>
                    </w:rPr>
                    <w:t>, τόσο μεγαλύτερη είναι η ρευστότητα και τόσο χαμηλότερου κινδύνου είναι το Έργο. Τα πλεονεκτήματα της μεθόδου αυτής είναι ότι: α) είναι εύκολος ο υπολογισμός της και είναι εύκολη στην κατανόηση, και β) χειρίζεται αποτελεσματικά τον επενδυτικό κίνδυνο, γεγονός ιδιαίτερα σημαντικό σε περιπτώσεις προβλημάτων ρευστότητας.</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tc>
            </w:tr>
          </w:tbl>
          <w:p w14:paraId="695C5D96" w14:textId="77777777" w:rsidR="005C5745" w:rsidRPr="005C5745" w:rsidRDefault="005C5745" w:rsidP="005C5745">
            <w:pPr>
              <w:spacing w:before="45" w:after="45" w:line="240" w:lineRule="auto"/>
              <w:ind w:left="420" w:hanging="15"/>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lastRenderedPageBreak/>
              <w:drawing>
                <wp:inline distT="0" distB="0" distL="0" distR="0" wp14:anchorId="518E176E" wp14:editId="5325A9FB">
                  <wp:extent cx="381000" cy="304800"/>
                  <wp:effectExtent l="0" t="0" r="0" b="0"/>
                  <wp:docPr id="22" name="Picture 22" descr="http://www.publicprocurementguides.treasury.gov.cy/OHS-GR/HTML/embim9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ublicprocurementguides.treasury.gov.cy/OHS-GR/HTML/embim97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 xml:space="preserve">Ωστόσο, η </w:t>
            </w:r>
            <w:r w:rsidRPr="005C5745">
              <w:rPr>
                <w:rFonts w:ascii="Verdana" w:eastAsia="Times New Roman" w:hAnsi="Verdana" w:cs="Times New Roman"/>
                <w:b/>
                <w:bCs/>
                <w:color w:val="000000"/>
                <w:sz w:val="18"/>
                <w:szCs w:val="18"/>
                <w:lang w:val="el-GR" w:eastAsia="en-GB"/>
              </w:rPr>
              <w:t xml:space="preserve">περίοδος </w:t>
            </w:r>
            <w:proofErr w:type="spellStart"/>
            <w:r w:rsidRPr="005C5745">
              <w:rPr>
                <w:rFonts w:ascii="Verdana" w:eastAsia="Times New Roman" w:hAnsi="Verdana" w:cs="Times New Roman"/>
                <w:b/>
                <w:bCs/>
                <w:color w:val="000000"/>
                <w:sz w:val="18"/>
                <w:szCs w:val="18"/>
                <w:lang w:val="el-GR" w:eastAsia="en-GB"/>
              </w:rPr>
              <w:t>επανείσπραξης</w:t>
            </w:r>
            <w:proofErr w:type="spellEnd"/>
            <w:r w:rsidRPr="005C5745">
              <w:rPr>
                <w:rFonts w:ascii="Verdana" w:eastAsia="Times New Roman" w:hAnsi="Verdana" w:cs="Times New Roman"/>
                <w:b/>
                <w:bCs/>
                <w:color w:val="000000"/>
                <w:sz w:val="18"/>
                <w:szCs w:val="18"/>
                <w:lang w:val="el-GR" w:eastAsia="en-GB"/>
              </w:rPr>
              <w:t xml:space="preserve"> δεν είναι το πιο σημαντικό κριτήριο κατά την αξιολόγηση δημόσιων επενδύσεων/ Έργων</w:t>
            </w:r>
            <w:r w:rsidRPr="005C5745">
              <w:rPr>
                <w:rFonts w:ascii="Verdana" w:eastAsia="Times New Roman" w:hAnsi="Verdana" w:cs="Times New Roman"/>
                <w:color w:val="000000"/>
                <w:sz w:val="18"/>
                <w:szCs w:val="18"/>
                <w:lang w:val="el-GR" w:eastAsia="en-GB"/>
              </w:rPr>
              <w:t xml:space="preserve"> και θα πρέπει να χρησιμοποιείται μόνο συμπληρωματικά με άλλες πιο αξιόπιστες μεθόδους. Επιπλέον, έχει αρκετά μειονεκτήματα: α) Η απλή περίοδος </w:t>
            </w:r>
            <w:proofErr w:type="spellStart"/>
            <w:r w:rsidRPr="005C5745">
              <w:rPr>
                <w:rFonts w:ascii="Verdana" w:eastAsia="Times New Roman" w:hAnsi="Verdana" w:cs="Times New Roman"/>
                <w:color w:val="000000"/>
                <w:sz w:val="18"/>
                <w:szCs w:val="18"/>
                <w:lang w:val="el-GR" w:eastAsia="en-GB"/>
              </w:rPr>
              <w:t>επανείσπραξης</w:t>
            </w:r>
            <w:proofErr w:type="spellEnd"/>
            <w:r w:rsidRPr="005C5745">
              <w:rPr>
                <w:rFonts w:ascii="Verdana" w:eastAsia="Times New Roman" w:hAnsi="Verdana" w:cs="Times New Roman"/>
                <w:color w:val="000000"/>
                <w:sz w:val="18"/>
                <w:szCs w:val="18"/>
                <w:lang w:val="el-GR" w:eastAsia="en-GB"/>
              </w:rPr>
              <w:t xml:space="preserve"> (δηλαδή χωρίς τη χρήση των </w:t>
            </w:r>
            <w:proofErr w:type="spellStart"/>
            <w:r w:rsidRPr="005C5745">
              <w:rPr>
                <w:rFonts w:ascii="Verdana" w:eastAsia="Times New Roman" w:hAnsi="Verdana" w:cs="Times New Roman"/>
                <w:color w:val="000000"/>
                <w:sz w:val="18"/>
                <w:szCs w:val="18"/>
                <w:lang w:val="el-GR" w:eastAsia="en-GB"/>
              </w:rPr>
              <w:t>προεξοφλημένων</w:t>
            </w:r>
            <w:proofErr w:type="spellEnd"/>
            <w:r w:rsidRPr="005C5745">
              <w:rPr>
                <w:rFonts w:ascii="Verdana" w:eastAsia="Times New Roman" w:hAnsi="Verdana" w:cs="Times New Roman"/>
                <w:color w:val="000000"/>
                <w:sz w:val="18"/>
                <w:szCs w:val="18"/>
                <w:lang w:val="el-GR" w:eastAsia="en-GB"/>
              </w:rPr>
              <w:t xml:space="preserve"> ταμειακών ροών) δεν λαμβάνει υπόψη τη χρονική αξία του χρήματος, β) αγνοεί τις ταμειακές ροές που σημειώνονται μετά το πέρας της περιόδου </w:t>
            </w:r>
            <w:proofErr w:type="spellStart"/>
            <w:r w:rsidRPr="005C5745">
              <w:rPr>
                <w:rFonts w:ascii="Verdana" w:eastAsia="Times New Roman" w:hAnsi="Verdana" w:cs="Times New Roman"/>
                <w:color w:val="000000"/>
                <w:sz w:val="18"/>
                <w:szCs w:val="18"/>
                <w:lang w:val="el-GR" w:eastAsia="en-GB"/>
              </w:rPr>
              <w:t>επανείσπραξης</w:t>
            </w:r>
            <w:proofErr w:type="spellEnd"/>
            <w:r w:rsidRPr="005C5745">
              <w:rPr>
                <w:rFonts w:ascii="Verdana" w:eastAsia="Times New Roman" w:hAnsi="Verdana" w:cs="Times New Roman"/>
                <w:color w:val="000000"/>
                <w:sz w:val="18"/>
                <w:szCs w:val="18"/>
                <w:lang w:val="el-GR" w:eastAsia="en-GB"/>
              </w:rPr>
              <w:t>, και γ) αποτελεί μέτρο χρόνου και όχι μέτρο αξίας, δηλαδή δεν λαμβάνει υπόψη τη συνολική κερδοφορία του Έργου.</w:t>
            </w:r>
          </w:p>
          <w:p w14:paraId="177F3E9A" w14:textId="77777777" w:rsidR="005C5745" w:rsidRPr="005C5745" w:rsidRDefault="005C5745" w:rsidP="005C5745">
            <w:pPr>
              <w:spacing w:before="45" w:after="45" w:line="240" w:lineRule="auto"/>
              <w:ind w:left="420" w:firstLine="15"/>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drawing>
                <wp:inline distT="0" distB="0" distL="0" distR="0" wp14:anchorId="66F6E5E9" wp14:editId="28DF12C8">
                  <wp:extent cx="400050" cy="333375"/>
                  <wp:effectExtent l="0" t="0" r="0" b="9525"/>
                  <wp:docPr id="23" name="Picture 23" descr="http://www.publicprocurementguides.treasury.gov.cy/OHS-GR/HTML/embim9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ublicprocurementguides.treasury.gov.cy/OHS-GR/HTML/embim9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 xml:space="preserve">Θα πρέπει να σημειωθεί ότι προκειμένου να ξεπεραστεί το μειονέκτημα της απλής περιόδου </w:t>
            </w:r>
            <w:proofErr w:type="spellStart"/>
            <w:r w:rsidRPr="005C5745">
              <w:rPr>
                <w:rFonts w:ascii="Verdana" w:eastAsia="Times New Roman" w:hAnsi="Verdana" w:cs="Times New Roman"/>
                <w:color w:val="000000"/>
                <w:sz w:val="18"/>
                <w:szCs w:val="18"/>
                <w:lang w:val="el-GR" w:eastAsia="en-GB"/>
              </w:rPr>
              <w:t>επανείσπραξης</w:t>
            </w:r>
            <w:proofErr w:type="spellEnd"/>
            <w:r w:rsidRPr="005C5745">
              <w:rPr>
                <w:rFonts w:ascii="Verdana" w:eastAsia="Times New Roman" w:hAnsi="Verdana" w:cs="Times New Roman"/>
                <w:color w:val="000000"/>
                <w:sz w:val="18"/>
                <w:szCs w:val="18"/>
                <w:lang w:val="el-GR" w:eastAsia="en-GB"/>
              </w:rPr>
              <w:t xml:space="preserve">, που δεν λαμβάνει υπόψη τη χρονική αξία του χρήματος, μπορείτε να χρησιμοποιήσετε την </w:t>
            </w:r>
            <w:proofErr w:type="spellStart"/>
            <w:r w:rsidRPr="005C5745">
              <w:rPr>
                <w:rFonts w:ascii="Verdana" w:eastAsia="Times New Roman" w:hAnsi="Verdana" w:cs="Times New Roman"/>
                <w:b/>
                <w:bCs/>
                <w:i/>
                <w:iCs/>
                <w:color w:val="000000"/>
                <w:sz w:val="18"/>
                <w:szCs w:val="18"/>
                <w:lang w:val="el-GR" w:eastAsia="en-GB"/>
              </w:rPr>
              <w:t>Προεξοφλημένη</w:t>
            </w:r>
            <w:proofErr w:type="spellEnd"/>
            <w:r w:rsidRPr="005C5745">
              <w:rPr>
                <w:rFonts w:ascii="Verdana" w:eastAsia="Times New Roman" w:hAnsi="Verdana" w:cs="Times New Roman"/>
                <w:b/>
                <w:bCs/>
                <w:i/>
                <w:iCs/>
                <w:color w:val="000000"/>
                <w:sz w:val="18"/>
                <w:szCs w:val="18"/>
                <w:lang w:val="el-GR" w:eastAsia="en-GB"/>
              </w:rPr>
              <w:t xml:space="preserve"> Περίοδο </w:t>
            </w:r>
            <w:proofErr w:type="spellStart"/>
            <w:r w:rsidRPr="005C5745">
              <w:rPr>
                <w:rFonts w:ascii="Verdana" w:eastAsia="Times New Roman" w:hAnsi="Verdana" w:cs="Times New Roman"/>
                <w:b/>
                <w:bCs/>
                <w:i/>
                <w:iCs/>
                <w:color w:val="000000"/>
                <w:sz w:val="18"/>
                <w:szCs w:val="18"/>
                <w:lang w:val="el-GR" w:eastAsia="en-GB"/>
              </w:rPr>
              <w:t>Επανείσπραξης</w:t>
            </w:r>
            <w:proofErr w:type="spellEnd"/>
            <w:r w:rsidRPr="005C5745">
              <w:rPr>
                <w:rFonts w:ascii="Verdana" w:eastAsia="Times New Roman" w:hAnsi="Verdana" w:cs="Times New Roman"/>
                <w:b/>
                <w:bCs/>
                <w:i/>
                <w:iCs/>
                <w:color w:val="000000"/>
                <w:sz w:val="18"/>
                <w:szCs w:val="18"/>
                <w:lang w:val="el-GR" w:eastAsia="en-GB"/>
              </w:rPr>
              <w:t xml:space="preserve"> (</w:t>
            </w:r>
            <w:r w:rsidRPr="005C5745">
              <w:rPr>
                <w:rFonts w:ascii="Verdana" w:eastAsia="Times New Roman" w:hAnsi="Verdana" w:cs="Times New Roman"/>
                <w:b/>
                <w:bCs/>
                <w:i/>
                <w:iCs/>
                <w:color w:val="000000"/>
                <w:sz w:val="18"/>
                <w:szCs w:val="18"/>
                <w:lang w:eastAsia="en-GB"/>
              </w:rPr>
              <w:t>Discounted</w:t>
            </w:r>
            <w:r w:rsidRPr="005C5745">
              <w:rPr>
                <w:rFonts w:ascii="Verdana" w:eastAsia="Times New Roman" w:hAnsi="Verdana" w:cs="Times New Roman"/>
                <w:b/>
                <w:bCs/>
                <w:i/>
                <w:iCs/>
                <w:color w:val="000000"/>
                <w:sz w:val="18"/>
                <w:szCs w:val="18"/>
                <w:lang w:val="el-GR" w:eastAsia="en-GB"/>
              </w:rPr>
              <w:t xml:space="preserve"> </w:t>
            </w:r>
            <w:r w:rsidRPr="005C5745">
              <w:rPr>
                <w:rFonts w:ascii="Verdana" w:eastAsia="Times New Roman" w:hAnsi="Verdana" w:cs="Times New Roman"/>
                <w:b/>
                <w:bCs/>
                <w:i/>
                <w:iCs/>
                <w:color w:val="000000"/>
                <w:sz w:val="18"/>
                <w:szCs w:val="18"/>
                <w:lang w:eastAsia="en-GB"/>
              </w:rPr>
              <w:t>Payback</w:t>
            </w:r>
            <w:r w:rsidRPr="005C5745">
              <w:rPr>
                <w:rFonts w:ascii="Verdana" w:eastAsia="Times New Roman" w:hAnsi="Verdana" w:cs="Times New Roman"/>
                <w:b/>
                <w:bCs/>
                <w:i/>
                <w:iCs/>
                <w:color w:val="000000"/>
                <w:sz w:val="18"/>
                <w:szCs w:val="18"/>
                <w:lang w:val="el-GR" w:eastAsia="en-GB"/>
              </w:rPr>
              <w:t xml:space="preserve"> </w:t>
            </w:r>
            <w:r w:rsidRPr="005C5745">
              <w:rPr>
                <w:rFonts w:ascii="Verdana" w:eastAsia="Times New Roman" w:hAnsi="Verdana" w:cs="Times New Roman"/>
                <w:b/>
                <w:bCs/>
                <w:i/>
                <w:iCs/>
                <w:color w:val="000000"/>
                <w:sz w:val="18"/>
                <w:szCs w:val="18"/>
                <w:lang w:eastAsia="en-GB"/>
              </w:rPr>
              <w:t>Period</w:t>
            </w:r>
            <w:r w:rsidRPr="005C5745">
              <w:rPr>
                <w:rFonts w:ascii="Verdana" w:eastAsia="Times New Roman" w:hAnsi="Verdana" w:cs="Times New Roman"/>
                <w:b/>
                <w:bCs/>
                <w:i/>
                <w:iCs/>
                <w:color w:val="000000"/>
                <w:sz w:val="18"/>
                <w:szCs w:val="18"/>
                <w:lang w:val="el-GR" w:eastAsia="en-GB"/>
              </w:rPr>
              <w:t>)</w:t>
            </w:r>
            <w:r w:rsidRPr="005C5745">
              <w:rPr>
                <w:rFonts w:ascii="Verdana" w:eastAsia="Times New Roman" w:hAnsi="Verdana" w:cs="Times New Roman"/>
                <w:color w:val="000000"/>
                <w:sz w:val="18"/>
                <w:szCs w:val="18"/>
                <w:lang w:val="el-GR" w:eastAsia="en-GB"/>
              </w:rPr>
              <w:t xml:space="preserve">, που προσδιορίζει τον αριθμό ετών μετά από τα οποία οι συσσωρευμένες καθαρές </w:t>
            </w:r>
            <w:proofErr w:type="spellStart"/>
            <w:r w:rsidRPr="005C5745">
              <w:rPr>
                <w:rFonts w:ascii="Verdana" w:eastAsia="Times New Roman" w:hAnsi="Verdana" w:cs="Times New Roman"/>
                <w:color w:val="000000"/>
                <w:sz w:val="18"/>
                <w:szCs w:val="18"/>
                <w:lang w:val="el-GR" w:eastAsia="en-GB"/>
              </w:rPr>
              <w:t>προεξοφλημένες</w:t>
            </w:r>
            <w:proofErr w:type="spellEnd"/>
            <w:r w:rsidRPr="005C5745">
              <w:rPr>
                <w:rFonts w:ascii="Verdana" w:eastAsia="Times New Roman" w:hAnsi="Verdana" w:cs="Times New Roman"/>
                <w:color w:val="000000"/>
                <w:sz w:val="18"/>
                <w:szCs w:val="18"/>
                <w:lang w:val="el-GR" w:eastAsia="en-GB"/>
              </w:rPr>
              <w:t xml:space="preserve"> ταμειακές ροές ξεπερνούν το μηδέν.</w:t>
            </w:r>
          </w:p>
          <w:tbl>
            <w:tblPr>
              <w:tblW w:w="0" w:type="auto"/>
              <w:tblCellSpacing w:w="0" w:type="dxa"/>
              <w:tblCellMar>
                <w:left w:w="0" w:type="dxa"/>
                <w:right w:w="0" w:type="dxa"/>
              </w:tblCellMar>
              <w:tblLook w:val="04A0" w:firstRow="1" w:lastRow="0" w:firstColumn="1" w:lastColumn="0" w:noHBand="0" w:noVBand="1"/>
            </w:tblPr>
            <w:tblGrid>
              <w:gridCol w:w="420"/>
              <w:gridCol w:w="11517"/>
            </w:tblGrid>
            <w:tr w:rsidR="005C5745" w:rsidRPr="005C5745" w14:paraId="7BFD5049" w14:textId="77777777" w:rsidTr="005C5745">
              <w:trPr>
                <w:tblCellSpacing w:w="0" w:type="dxa"/>
              </w:trPr>
              <w:tc>
                <w:tcPr>
                  <w:tcW w:w="420" w:type="dxa"/>
                  <w:vAlign w:val="bottom"/>
                  <w:hideMark/>
                </w:tcPr>
                <w:p w14:paraId="07915E22"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6ED4FD10"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80"/>
                      <w:sz w:val="18"/>
                      <w:szCs w:val="18"/>
                      <w:lang w:val="el-GR" w:eastAsia="en-GB"/>
                    </w:rPr>
                    <w:t>Λόγος Οφέλους - Κόστους (</w:t>
                  </w:r>
                  <w:r w:rsidRPr="005C5745">
                    <w:rPr>
                      <w:rFonts w:ascii="Verdana" w:eastAsia="Times New Roman" w:hAnsi="Verdana" w:cs="Times New Roman"/>
                      <w:b/>
                      <w:bCs/>
                      <w:color w:val="000080"/>
                      <w:sz w:val="18"/>
                      <w:szCs w:val="18"/>
                      <w:lang w:eastAsia="en-GB"/>
                    </w:rPr>
                    <w:t>Benefit</w:t>
                  </w:r>
                  <w:r w:rsidRPr="005C5745">
                    <w:rPr>
                      <w:rFonts w:ascii="Verdana" w:eastAsia="Times New Roman" w:hAnsi="Verdana" w:cs="Times New Roman"/>
                      <w:b/>
                      <w:bCs/>
                      <w:color w:val="000080"/>
                      <w:sz w:val="18"/>
                      <w:szCs w:val="18"/>
                      <w:lang w:val="el-GR" w:eastAsia="en-GB"/>
                    </w:rPr>
                    <w:t xml:space="preserve"> - </w:t>
                  </w:r>
                  <w:r w:rsidRPr="005C5745">
                    <w:rPr>
                      <w:rFonts w:ascii="Verdana" w:eastAsia="Times New Roman" w:hAnsi="Verdana" w:cs="Times New Roman"/>
                      <w:b/>
                      <w:bCs/>
                      <w:color w:val="000080"/>
                      <w:sz w:val="18"/>
                      <w:szCs w:val="18"/>
                      <w:lang w:eastAsia="en-GB"/>
                    </w:rPr>
                    <w:t>Cost</w:t>
                  </w:r>
                  <w:r w:rsidRPr="005C5745">
                    <w:rPr>
                      <w:rFonts w:ascii="Verdana" w:eastAsia="Times New Roman" w:hAnsi="Verdana" w:cs="Times New Roman"/>
                      <w:b/>
                      <w:bCs/>
                      <w:color w:val="000080"/>
                      <w:sz w:val="18"/>
                      <w:szCs w:val="18"/>
                      <w:lang w:val="el-GR" w:eastAsia="en-GB"/>
                    </w:rPr>
                    <w:t xml:space="preserve"> </w:t>
                  </w:r>
                  <w:r w:rsidRPr="005C5745">
                    <w:rPr>
                      <w:rFonts w:ascii="Verdana" w:eastAsia="Times New Roman" w:hAnsi="Verdana" w:cs="Times New Roman"/>
                      <w:b/>
                      <w:bCs/>
                      <w:color w:val="000080"/>
                      <w:sz w:val="18"/>
                      <w:szCs w:val="18"/>
                      <w:lang w:eastAsia="en-GB"/>
                    </w:rPr>
                    <w:t>Ratio</w:t>
                  </w:r>
                  <w:r w:rsidRPr="005C5745">
                    <w:rPr>
                      <w:rFonts w:ascii="Verdana" w:eastAsia="Times New Roman" w:hAnsi="Verdana" w:cs="Times New Roman"/>
                      <w:b/>
                      <w:bCs/>
                      <w:color w:val="000080"/>
                      <w:sz w:val="18"/>
                      <w:szCs w:val="18"/>
                      <w:lang w:val="el-GR" w:eastAsia="en-GB"/>
                    </w:rPr>
                    <w:t xml:space="preserve"> – </w:t>
                  </w:r>
                  <w:r w:rsidRPr="005C5745">
                    <w:rPr>
                      <w:rFonts w:ascii="Verdana" w:eastAsia="Times New Roman" w:hAnsi="Verdana" w:cs="Times New Roman"/>
                      <w:b/>
                      <w:bCs/>
                      <w:color w:val="000080"/>
                      <w:sz w:val="18"/>
                      <w:szCs w:val="18"/>
                      <w:lang w:eastAsia="en-GB"/>
                    </w:rPr>
                    <w:t>BC</w:t>
                  </w:r>
                  <w:r w:rsidRPr="005C5745">
                    <w:rPr>
                      <w:rFonts w:ascii="Verdana" w:eastAsia="Times New Roman" w:hAnsi="Verdana" w:cs="Times New Roman"/>
                      <w:b/>
                      <w:bCs/>
                      <w:color w:val="000080"/>
                      <w:sz w:val="18"/>
                      <w:szCs w:val="18"/>
                      <w:lang w:val="el-GR" w:eastAsia="en-GB"/>
                    </w:rPr>
                    <w:t xml:space="preserve"> </w:t>
                  </w:r>
                  <w:r w:rsidRPr="005C5745">
                    <w:rPr>
                      <w:rFonts w:ascii="Verdana" w:eastAsia="Times New Roman" w:hAnsi="Verdana" w:cs="Times New Roman"/>
                      <w:b/>
                      <w:bCs/>
                      <w:color w:val="000080"/>
                      <w:sz w:val="18"/>
                      <w:szCs w:val="18"/>
                      <w:lang w:eastAsia="en-GB"/>
                    </w:rPr>
                    <w:t>ratio</w:t>
                  </w:r>
                  <w:r w:rsidRPr="005C5745">
                    <w:rPr>
                      <w:rFonts w:ascii="Verdana" w:eastAsia="Times New Roman" w:hAnsi="Verdana" w:cs="Times New Roman"/>
                      <w:b/>
                      <w:bCs/>
                      <w:color w:val="000080"/>
                      <w:sz w:val="18"/>
                      <w:szCs w:val="18"/>
                      <w:lang w:val="el-GR" w:eastAsia="en-GB"/>
                    </w:rPr>
                    <w:t>)</w:t>
                  </w:r>
                  <w:r w:rsidRPr="005C5745">
                    <w:rPr>
                      <w:rFonts w:ascii="Verdana" w:eastAsia="Times New Roman" w:hAnsi="Verdana" w:cs="Times New Roman"/>
                      <w:color w:val="000000"/>
                      <w:sz w:val="18"/>
                      <w:szCs w:val="18"/>
                      <w:lang w:val="el-GR" w:eastAsia="en-GB"/>
                    </w:rPr>
                    <w:t>: Ο λόγος οφέλους – κόστους δίνεται από τον ακόλουθο τύπο:</w:t>
                  </w:r>
                </w:p>
              </w:tc>
            </w:tr>
          </w:tbl>
          <w:p w14:paraId="3FFDFBED" w14:textId="77777777" w:rsidR="005C5745" w:rsidRPr="005C5745" w:rsidRDefault="005C5745" w:rsidP="005C5745">
            <w:pPr>
              <w:spacing w:before="45" w:after="45" w:line="240" w:lineRule="auto"/>
              <w:ind w:left="420" w:hanging="15"/>
              <w:jc w:val="both"/>
              <w:rPr>
                <w:rFonts w:ascii="Verdana" w:eastAsia="Times New Roman" w:hAnsi="Verdana" w:cs="Times New Roman"/>
                <w:color w:val="000000"/>
                <w:sz w:val="18"/>
                <w:szCs w:val="18"/>
                <w:lang w:eastAsia="en-GB"/>
              </w:rPr>
            </w:pPr>
            <w:r w:rsidRPr="005C5745">
              <w:rPr>
                <w:rFonts w:ascii="Verdana" w:eastAsia="Times New Roman" w:hAnsi="Verdana" w:cs="Times New Roman"/>
                <w:noProof/>
                <w:color w:val="000000"/>
                <w:sz w:val="18"/>
                <w:szCs w:val="18"/>
                <w:lang w:eastAsia="en-GB"/>
              </w:rPr>
              <w:drawing>
                <wp:inline distT="0" distB="0" distL="0" distR="0" wp14:anchorId="10E05528" wp14:editId="092F927C">
                  <wp:extent cx="5057775" cy="447675"/>
                  <wp:effectExtent l="0" t="0" r="9525" b="9525"/>
                  <wp:docPr id="24" name="Picture 24" descr="http://www.publicprocurementguides.treasury.gov.cy/OHS-GR/HTML/embim9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ublicprocurementguides.treasury.gov.cy/OHS-GR/HTML/embim97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7775" cy="447675"/>
                          </a:xfrm>
                          <a:prstGeom prst="rect">
                            <a:avLst/>
                          </a:prstGeom>
                          <a:noFill/>
                          <a:ln>
                            <a:noFill/>
                          </a:ln>
                        </pic:spPr>
                      </pic:pic>
                    </a:graphicData>
                  </a:graphic>
                </wp:inline>
              </w:drawing>
            </w:r>
          </w:p>
          <w:p w14:paraId="0DB6933C" w14:textId="77777777" w:rsidR="005C5745" w:rsidRPr="005C5745" w:rsidRDefault="005C5745" w:rsidP="005C5745">
            <w:pPr>
              <w:spacing w:before="45" w:after="45" w:line="240" w:lineRule="auto"/>
              <w:ind w:left="420" w:firstLine="15"/>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drawing>
                <wp:inline distT="0" distB="0" distL="0" distR="0" wp14:anchorId="0113664F" wp14:editId="60488E35">
                  <wp:extent cx="381000" cy="304800"/>
                  <wp:effectExtent l="0" t="0" r="0" b="0"/>
                  <wp:docPr id="25" name="Picture 25" descr="http://www.publicprocurementguides.treasury.gov.cy/OHS-GR/HTML/embim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ublicprocurementguides.treasury.gov.cy/OHS-GR/HTML/embim97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Αν ο λόγος οφέλους – κόστους είναι μεγαλύτερος της μονάδας, πράγμα που σημαίνει ότι η ΚΠΑ είναι μεγαλύτερη από το μηδέν, τότε το Έργο είναι αποδοτικό ως προς το κόστος. Όσο μεγαλύτερος είναι ο λόγος, τόσο μεγαλύτερα είναι τα σχετικά με το κόστος οφέλη. Πρέπει να σημειωθεί ότι το μέγεθος των καθαρών οφελών δεν έχει καμία επίδραση στον απλό λόγο οφέλους – κόστους, συνεπώς η μέθοδος αυτή μπορεί να ευνοήσει Έργα με χαμηλό κόστος και μικρά οφέλη σε σχέση με άλλα που έχουν υψηλότερα καθαρά οφέλη.</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tbl>
            <w:tblPr>
              <w:tblW w:w="0" w:type="auto"/>
              <w:shd w:val="clear" w:color="auto" w:fill="CCFFFF"/>
              <w:tblCellMar>
                <w:left w:w="0" w:type="dxa"/>
                <w:right w:w="0" w:type="dxa"/>
              </w:tblCellMar>
              <w:tblLook w:val="04A0" w:firstRow="1" w:lastRow="0" w:firstColumn="1" w:lastColumn="0" w:noHBand="0" w:noVBand="1"/>
            </w:tblPr>
            <w:tblGrid>
              <w:gridCol w:w="13792"/>
            </w:tblGrid>
            <w:tr w:rsidR="005C5745" w:rsidRPr="005C5745" w14:paraId="01E7147C" w14:textId="77777777" w:rsidTr="005C5745">
              <w:tc>
                <w:tcPr>
                  <w:tcW w:w="0" w:type="auto"/>
                  <w:tcBorders>
                    <w:top w:val="single" w:sz="6" w:space="0" w:color="000000"/>
                    <w:left w:val="single" w:sz="6" w:space="0" w:color="000000"/>
                    <w:bottom w:val="single" w:sz="6" w:space="0" w:color="000000"/>
                    <w:right w:val="single" w:sz="6" w:space="0" w:color="000000"/>
                  </w:tcBorders>
                  <w:shd w:val="clear" w:color="auto" w:fill="CCFFFF"/>
                  <w:hideMark/>
                </w:tcPr>
                <w:p w14:paraId="303B19FF" w14:textId="77777777" w:rsidR="005C5745" w:rsidRPr="005C5745" w:rsidRDefault="005C5745" w:rsidP="005C5745">
                  <w:pPr>
                    <w:spacing w:before="45" w:after="45" w:line="240" w:lineRule="auto"/>
                    <w:ind w:left="90"/>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Χρησιμοποιώντας τις αναμενόμενες ταμειακές ροές από τους πίνακες 1, 2, 3 &amp; 4, υπολογίστηκαν για κάθε επιλογή η ΚΠΑ, ο Εσωτερικός Βαθμός Απόδοσης, η Περίοδος </w:t>
                  </w:r>
                  <w:proofErr w:type="spellStart"/>
                  <w:r w:rsidRPr="005C5745">
                    <w:rPr>
                      <w:rFonts w:ascii="Verdana" w:eastAsia="Times New Roman" w:hAnsi="Verdana" w:cs="Times New Roman"/>
                      <w:color w:val="000000"/>
                      <w:sz w:val="18"/>
                      <w:szCs w:val="18"/>
                      <w:lang w:val="el-GR" w:eastAsia="en-GB"/>
                    </w:rPr>
                    <w:t>Επανείσπραξης</w:t>
                  </w:r>
                  <w:proofErr w:type="spellEnd"/>
                  <w:r w:rsidRPr="005C5745">
                    <w:rPr>
                      <w:rFonts w:ascii="Verdana" w:eastAsia="Times New Roman" w:hAnsi="Verdana" w:cs="Times New Roman"/>
                      <w:color w:val="000000"/>
                      <w:sz w:val="18"/>
                      <w:szCs w:val="18"/>
                      <w:lang w:val="el-GR" w:eastAsia="en-GB"/>
                    </w:rPr>
                    <w:t xml:space="preserve"> και ο λόγος Οφέλους – Κόστους, και τα αποτελέσματα παρουσιάζονται στη συνέχεια:</w:t>
                  </w:r>
                </w:p>
                <w:p w14:paraId="66612420" w14:textId="77777777" w:rsidR="005C5745" w:rsidRPr="005C5745" w:rsidRDefault="005C5745" w:rsidP="005C5745">
                  <w:pPr>
                    <w:spacing w:before="45" w:after="45" w:line="240" w:lineRule="auto"/>
                    <w:ind w:left="90"/>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i/>
                      <w:iCs/>
                      <w:color w:val="000000"/>
                      <w:sz w:val="18"/>
                      <w:szCs w:val="18"/>
                      <w:u w:val="single"/>
                      <w:lang w:val="el-GR" w:eastAsia="en-GB"/>
                    </w:rPr>
                    <w:t>Επιλογή 1 (να μην επενδυθεί €1 εκ.)</w:t>
                  </w:r>
                </w:p>
                <w:tbl>
                  <w:tblPr>
                    <w:tblW w:w="0" w:type="auto"/>
                    <w:tblCellSpacing w:w="0" w:type="dxa"/>
                    <w:tblCellMar>
                      <w:left w:w="0" w:type="dxa"/>
                      <w:right w:w="0" w:type="dxa"/>
                    </w:tblCellMar>
                    <w:tblLook w:val="04A0" w:firstRow="1" w:lastRow="0" w:firstColumn="1" w:lastColumn="0" w:noHBand="0" w:noVBand="1"/>
                  </w:tblPr>
                  <w:tblGrid>
                    <w:gridCol w:w="195"/>
                    <w:gridCol w:w="4412"/>
                  </w:tblGrid>
                  <w:tr w:rsidR="005C5745" w:rsidRPr="005C5745" w14:paraId="1B8AA356" w14:textId="77777777" w:rsidTr="005C5745">
                    <w:trPr>
                      <w:tblCellSpacing w:w="0" w:type="dxa"/>
                    </w:trPr>
                    <w:tc>
                      <w:tcPr>
                        <w:tcW w:w="195" w:type="dxa"/>
                        <w:vAlign w:val="bottom"/>
                        <w:hideMark/>
                      </w:tcPr>
                      <w:p w14:paraId="37B3CD52"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07D899A2"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00"/>
                            <w:sz w:val="18"/>
                            <w:szCs w:val="18"/>
                            <w:lang w:eastAsia="en-GB"/>
                          </w:rPr>
                          <w:t>ΚΠΑ (NPV)</w:t>
                        </w:r>
                        <w:r w:rsidRPr="005C5745">
                          <w:rPr>
                            <w:rFonts w:ascii="Verdana" w:eastAsia="Times New Roman" w:hAnsi="Verdana" w:cs="Times New Roman"/>
                            <w:color w:val="000000"/>
                            <w:sz w:val="18"/>
                            <w:szCs w:val="18"/>
                            <w:lang w:eastAsia="en-GB"/>
                          </w:rPr>
                          <w:t xml:space="preserve"> = </w:t>
                        </w:r>
                        <w:r w:rsidRPr="005C5745">
                          <w:rPr>
                            <w:rFonts w:ascii="Verdana" w:eastAsia="Times New Roman" w:hAnsi="Verdana" w:cs="Times New Roman"/>
                            <w:b/>
                            <w:bCs/>
                            <w:color w:val="000000"/>
                            <w:sz w:val="18"/>
                            <w:szCs w:val="18"/>
                            <w:lang w:eastAsia="en-GB"/>
                          </w:rPr>
                          <w:t>€52.216,26</w:t>
                        </w:r>
                      </w:p>
                    </w:tc>
                  </w:tr>
                  <w:tr w:rsidR="005C5745" w:rsidRPr="005C5745" w14:paraId="22AF4E62" w14:textId="77777777">
                    <w:trPr>
                      <w:tblCellSpacing w:w="0" w:type="dxa"/>
                    </w:trPr>
                    <w:tc>
                      <w:tcPr>
                        <w:tcW w:w="195" w:type="dxa"/>
                        <w:vAlign w:val="bottom"/>
                        <w:hideMark/>
                      </w:tcPr>
                      <w:p w14:paraId="30A8D8A9"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588C8AA2"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b/>
                            <w:bCs/>
                            <w:color w:val="000000"/>
                            <w:sz w:val="18"/>
                            <w:szCs w:val="18"/>
                            <w:lang w:eastAsia="en-GB"/>
                          </w:rPr>
                          <w:t>Εσωτερικός</w:t>
                        </w:r>
                        <w:proofErr w:type="spellEnd"/>
                        <w:r w:rsidRPr="005C5745">
                          <w:rPr>
                            <w:rFonts w:ascii="Verdana" w:eastAsia="Times New Roman" w:hAnsi="Verdana" w:cs="Times New Roman"/>
                            <w:b/>
                            <w:bCs/>
                            <w:color w:val="000000"/>
                            <w:sz w:val="18"/>
                            <w:szCs w:val="18"/>
                            <w:lang w:eastAsia="en-GB"/>
                          </w:rPr>
                          <w:t xml:space="preserve"> Βα</w:t>
                        </w:r>
                        <w:proofErr w:type="spellStart"/>
                        <w:r w:rsidRPr="005C5745">
                          <w:rPr>
                            <w:rFonts w:ascii="Verdana" w:eastAsia="Times New Roman" w:hAnsi="Verdana" w:cs="Times New Roman"/>
                            <w:b/>
                            <w:bCs/>
                            <w:color w:val="000000"/>
                            <w:sz w:val="18"/>
                            <w:szCs w:val="18"/>
                            <w:lang w:eastAsia="en-GB"/>
                          </w:rPr>
                          <w:t>θμός</w:t>
                        </w:r>
                        <w:proofErr w:type="spellEnd"/>
                        <w:r w:rsidRPr="005C5745">
                          <w:rPr>
                            <w:rFonts w:ascii="Verdana" w:eastAsia="Times New Roman" w:hAnsi="Verdana" w:cs="Times New Roman"/>
                            <w:b/>
                            <w:bCs/>
                            <w:color w:val="000000"/>
                            <w:sz w:val="18"/>
                            <w:szCs w:val="18"/>
                            <w:lang w:eastAsia="en-GB"/>
                          </w:rPr>
                          <w:t xml:space="preserve"> Απ</w:t>
                        </w:r>
                        <w:proofErr w:type="spellStart"/>
                        <w:r w:rsidRPr="005C5745">
                          <w:rPr>
                            <w:rFonts w:ascii="Verdana" w:eastAsia="Times New Roman" w:hAnsi="Verdana" w:cs="Times New Roman"/>
                            <w:b/>
                            <w:bCs/>
                            <w:color w:val="000000"/>
                            <w:sz w:val="18"/>
                            <w:szCs w:val="18"/>
                            <w:lang w:eastAsia="en-GB"/>
                          </w:rPr>
                          <w:t>όδοσης</w:t>
                        </w:r>
                        <w:proofErr w:type="spellEnd"/>
                        <w:r w:rsidRPr="005C5745">
                          <w:rPr>
                            <w:rFonts w:ascii="Verdana" w:eastAsia="Times New Roman" w:hAnsi="Verdana" w:cs="Times New Roman"/>
                            <w:b/>
                            <w:bCs/>
                            <w:color w:val="000000"/>
                            <w:sz w:val="18"/>
                            <w:szCs w:val="18"/>
                            <w:lang w:eastAsia="en-GB"/>
                          </w:rPr>
                          <w:t xml:space="preserve"> (IRR)</w:t>
                        </w:r>
                        <w:r w:rsidRPr="005C5745">
                          <w:rPr>
                            <w:rFonts w:ascii="Verdana" w:eastAsia="Times New Roman" w:hAnsi="Verdana" w:cs="Times New Roman"/>
                            <w:color w:val="000000"/>
                            <w:sz w:val="18"/>
                            <w:szCs w:val="18"/>
                            <w:lang w:eastAsia="en-GB"/>
                          </w:rPr>
                          <w:t xml:space="preserve"> = </w:t>
                        </w:r>
                        <w:r w:rsidRPr="005C5745">
                          <w:rPr>
                            <w:rFonts w:ascii="Verdana" w:eastAsia="Times New Roman" w:hAnsi="Verdana" w:cs="Times New Roman"/>
                            <w:b/>
                            <w:bCs/>
                            <w:color w:val="000000"/>
                            <w:sz w:val="18"/>
                            <w:szCs w:val="18"/>
                            <w:lang w:eastAsia="en-GB"/>
                          </w:rPr>
                          <w:t>17%</w:t>
                        </w:r>
                      </w:p>
                    </w:tc>
                  </w:tr>
                </w:tbl>
                <w:p w14:paraId="3A5EBDCC"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7955"/>
                  </w:tblGrid>
                  <w:tr w:rsidR="005C5745" w:rsidRPr="005C5745" w14:paraId="45E235C4" w14:textId="77777777" w:rsidTr="005C5745">
                    <w:trPr>
                      <w:tblCellSpacing w:w="0" w:type="dxa"/>
                    </w:trPr>
                    <w:tc>
                      <w:tcPr>
                        <w:tcW w:w="195" w:type="dxa"/>
                        <w:vAlign w:val="bottom"/>
                        <w:hideMark/>
                      </w:tcPr>
                      <w:p w14:paraId="5FA41DCA"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3617B0B1"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8"/>
                            <w:szCs w:val="18"/>
                            <w:lang w:val="el-GR" w:eastAsia="en-GB"/>
                          </w:rPr>
                          <w:t xml:space="preserve">Περίοδος </w:t>
                        </w:r>
                        <w:proofErr w:type="spellStart"/>
                        <w:r w:rsidRPr="005C5745">
                          <w:rPr>
                            <w:rFonts w:ascii="Verdana" w:eastAsia="Times New Roman" w:hAnsi="Verdana" w:cs="Times New Roman"/>
                            <w:b/>
                            <w:bCs/>
                            <w:color w:val="000000"/>
                            <w:sz w:val="18"/>
                            <w:szCs w:val="18"/>
                            <w:lang w:val="el-GR" w:eastAsia="en-GB"/>
                          </w:rPr>
                          <w:t>επανείσπραξης</w:t>
                        </w:r>
                        <w:proofErr w:type="spellEnd"/>
                        <w:r w:rsidRPr="005C5745">
                          <w:rPr>
                            <w:rFonts w:ascii="Verdana" w:eastAsia="Times New Roman" w:hAnsi="Verdana" w:cs="Times New Roman"/>
                            <w:b/>
                            <w:bCs/>
                            <w:color w:val="000000"/>
                            <w:sz w:val="18"/>
                            <w:szCs w:val="18"/>
                            <w:lang w:val="el-GR" w:eastAsia="en-GB"/>
                          </w:rPr>
                          <w:t xml:space="preserve"> </w:t>
                        </w:r>
                        <w:r w:rsidRPr="005C5745">
                          <w:rPr>
                            <w:rFonts w:ascii="Verdana" w:eastAsia="Times New Roman" w:hAnsi="Verdana" w:cs="Times New Roman"/>
                            <w:color w:val="000000"/>
                            <w:sz w:val="18"/>
                            <w:szCs w:val="18"/>
                            <w:lang w:val="el-GR" w:eastAsia="en-GB"/>
                          </w:rPr>
                          <w:t xml:space="preserve">(με βάση </w:t>
                        </w:r>
                        <w:proofErr w:type="spellStart"/>
                        <w:r w:rsidRPr="005C5745">
                          <w:rPr>
                            <w:rFonts w:ascii="Verdana" w:eastAsia="Times New Roman" w:hAnsi="Verdana" w:cs="Times New Roman"/>
                            <w:color w:val="000000"/>
                            <w:sz w:val="18"/>
                            <w:szCs w:val="18"/>
                            <w:lang w:val="el-GR" w:eastAsia="en-GB"/>
                          </w:rPr>
                          <w:t>προεξοφλημένες</w:t>
                        </w:r>
                        <w:proofErr w:type="spellEnd"/>
                        <w:r w:rsidRPr="005C5745">
                          <w:rPr>
                            <w:rFonts w:ascii="Verdana" w:eastAsia="Times New Roman" w:hAnsi="Verdana" w:cs="Times New Roman"/>
                            <w:color w:val="000000"/>
                            <w:sz w:val="18"/>
                            <w:szCs w:val="18"/>
                            <w:lang w:val="el-GR" w:eastAsia="en-GB"/>
                          </w:rPr>
                          <w:t xml:space="preserve"> καθαρές ταμειακές ροές) = </w:t>
                        </w:r>
                        <w:r w:rsidRPr="005C5745">
                          <w:rPr>
                            <w:rFonts w:ascii="Verdana" w:eastAsia="Times New Roman" w:hAnsi="Verdana" w:cs="Times New Roman"/>
                            <w:b/>
                            <w:bCs/>
                            <w:color w:val="000000"/>
                            <w:sz w:val="18"/>
                            <w:szCs w:val="18"/>
                            <w:lang w:val="el-GR" w:eastAsia="en-GB"/>
                          </w:rPr>
                          <w:t>8 έτη</w:t>
                        </w:r>
                      </w:p>
                    </w:tc>
                  </w:tr>
                  <w:tr w:rsidR="005C5745" w:rsidRPr="005C5745" w14:paraId="36F2A4EE" w14:textId="77777777">
                    <w:trPr>
                      <w:tblCellSpacing w:w="0" w:type="dxa"/>
                    </w:trPr>
                    <w:tc>
                      <w:tcPr>
                        <w:tcW w:w="195" w:type="dxa"/>
                        <w:vAlign w:val="bottom"/>
                        <w:hideMark/>
                      </w:tcPr>
                      <w:p w14:paraId="12357447"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Arial Unicode MS" w:eastAsia="Times New Roman" w:hAnsi="Arial Unicode MS" w:cs="Times New Roman"/>
                            <w:color w:val="000000"/>
                            <w:sz w:val="18"/>
                            <w:szCs w:val="18"/>
                            <w:lang w:val="el-GR" w:eastAsia="en-GB"/>
                          </w:rPr>
                          <w:t>▪</w:t>
                        </w:r>
                      </w:p>
                    </w:tc>
                    <w:tc>
                      <w:tcPr>
                        <w:tcW w:w="0" w:type="auto"/>
                        <w:vAlign w:val="bottom"/>
                        <w:hideMark/>
                      </w:tcPr>
                      <w:p w14:paraId="27BA73A1"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8"/>
                            <w:szCs w:val="18"/>
                            <w:lang w:val="el-GR" w:eastAsia="en-GB"/>
                          </w:rPr>
                          <w:t>Λόγος Οφέλους – Κόστους (</w:t>
                        </w:r>
                        <w:r w:rsidRPr="005C5745">
                          <w:rPr>
                            <w:rFonts w:ascii="Verdana" w:eastAsia="Times New Roman" w:hAnsi="Verdana" w:cs="Times New Roman"/>
                            <w:b/>
                            <w:bCs/>
                            <w:color w:val="000000"/>
                            <w:sz w:val="18"/>
                            <w:szCs w:val="18"/>
                            <w:lang w:eastAsia="en-GB"/>
                          </w:rPr>
                          <w:t>BC</w:t>
                        </w:r>
                        <w:r w:rsidRPr="005C5745">
                          <w:rPr>
                            <w:rFonts w:ascii="Verdana" w:eastAsia="Times New Roman" w:hAnsi="Verdana" w:cs="Times New Roman"/>
                            <w:b/>
                            <w:bCs/>
                            <w:color w:val="000000"/>
                            <w:sz w:val="18"/>
                            <w:szCs w:val="18"/>
                            <w:lang w:val="el-GR" w:eastAsia="en-GB"/>
                          </w:rPr>
                          <w:t>)</w:t>
                        </w:r>
                        <w:r w:rsidRPr="005C5745">
                          <w:rPr>
                            <w:rFonts w:ascii="Verdana" w:eastAsia="Times New Roman" w:hAnsi="Verdana" w:cs="Times New Roman"/>
                            <w:color w:val="000000"/>
                            <w:sz w:val="18"/>
                            <w:szCs w:val="18"/>
                            <w:lang w:val="el-GR" w:eastAsia="en-GB"/>
                          </w:rPr>
                          <w:t xml:space="preserve"> = </w:t>
                        </w:r>
                        <w:r w:rsidRPr="005C5745">
                          <w:rPr>
                            <w:rFonts w:ascii="Verdana" w:eastAsia="Times New Roman" w:hAnsi="Verdana" w:cs="Times New Roman"/>
                            <w:b/>
                            <w:bCs/>
                            <w:color w:val="000000"/>
                            <w:sz w:val="18"/>
                            <w:szCs w:val="18"/>
                            <w:lang w:val="el-GR" w:eastAsia="en-GB"/>
                          </w:rPr>
                          <w:t>1,04</w:t>
                        </w:r>
                        <w:r w:rsidRPr="005C5745">
                          <w:rPr>
                            <w:rFonts w:ascii="Verdana" w:eastAsia="Times New Roman" w:hAnsi="Verdana" w:cs="Times New Roman"/>
                            <w:color w:val="000000"/>
                            <w:sz w:val="18"/>
                            <w:szCs w:val="18"/>
                            <w:lang w:val="el-GR" w:eastAsia="en-GB"/>
                          </w:rPr>
                          <w:t xml:space="preserve"> </w:t>
                        </w:r>
                      </w:p>
                    </w:tc>
                  </w:tr>
                </w:tbl>
                <w:p w14:paraId="15AE1634" w14:textId="77777777" w:rsidR="005C5745" w:rsidRPr="005C5745" w:rsidRDefault="005C5745" w:rsidP="005C5745">
                  <w:pPr>
                    <w:spacing w:before="45" w:after="45" w:line="240" w:lineRule="auto"/>
                    <w:ind w:left="90"/>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i/>
                      <w:iCs/>
                      <w:color w:val="000000"/>
                      <w:sz w:val="18"/>
                      <w:szCs w:val="18"/>
                      <w:u w:val="single"/>
                      <w:lang w:val="el-GR" w:eastAsia="en-GB"/>
                    </w:rPr>
                    <w:t>Επιλογή 2 (να επενδυθεί €1 εκ.)</w:t>
                  </w:r>
                </w:p>
                <w:tbl>
                  <w:tblPr>
                    <w:tblW w:w="0" w:type="auto"/>
                    <w:tblCellSpacing w:w="0" w:type="dxa"/>
                    <w:tblCellMar>
                      <w:left w:w="0" w:type="dxa"/>
                      <w:right w:w="0" w:type="dxa"/>
                    </w:tblCellMar>
                    <w:tblLook w:val="04A0" w:firstRow="1" w:lastRow="0" w:firstColumn="1" w:lastColumn="0" w:noHBand="0" w:noVBand="1"/>
                  </w:tblPr>
                  <w:tblGrid>
                    <w:gridCol w:w="195"/>
                    <w:gridCol w:w="4468"/>
                  </w:tblGrid>
                  <w:tr w:rsidR="005C5745" w:rsidRPr="005C5745" w14:paraId="0CAE176E" w14:textId="77777777" w:rsidTr="005C5745">
                    <w:trPr>
                      <w:tblCellSpacing w:w="0" w:type="dxa"/>
                    </w:trPr>
                    <w:tc>
                      <w:tcPr>
                        <w:tcW w:w="195" w:type="dxa"/>
                        <w:vAlign w:val="bottom"/>
                        <w:hideMark/>
                      </w:tcPr>
                      <w:p w14:paraId="52969744"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7635E564"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00"/>
                            <w:sz w:val="18"/>
                            <w:szCs w:val="18"/>
                            <w:lang w:eastAsia="en-GB"/>
                          </w:rPr>
                          <w:t>Καθα</w:t>
                        </w:r>
                        <w:proofErr w:type="spellStart"/>
                        <w:r w:rsidRPr="005C5745">
                          <w:rPr>
                            <w:rFonts w:ascii="Verdana" w:eastAsia="Times New Roman" w:hAnsi="Verdana" w:cs="Times New Roman"/>
                            <w:b/>
                            <w:bCs/>
                            <w:color w:val="000000"/>
                            <w:sz w:val="18"/>
                            <w:szCs w:val="18"/>
                            <w:lang w:eastAsia="en-GB"/>
                          </w:rPr>
                          <w:t>ρή</w:t>
                        </w:r>
                        <w:proofErr w:type="spellEnd"/>
                        <w:r w:rsidRPr="005C5745">
                          <w:rPr>
                            <w:rFonts w:ascii="Verdana" w:eastAsia="Times New Roman" w:hAnsi="Verdana" w:cs="Times New Roman"/>
                            <w:b/>
                            <w:bCs/>
                            <w:color w:val="000000"/>
                            <w:sz w:val="18"/>
                            <w:szCs w:val="18"/>
                            <w:lang w:eastAsia="en-GB"/>
                          </w:rPr>
                          <w:t xml:space="preserve"> Πα</w:t>
                        </w:r>
                        <w:proofErr w:type="spellStart"/>
                        <w:r w:rsidRPr="005C5745">
                          <w:rPr>
                            <w:rFonts w:ascii="Verdana" w:eastAsia="Times New Roman" w:hAnsi="Verdana" w:cs="Times New Roman"/>
                            <w:b/>
                            <w:bCs/>
                            <w:color w:val="000000"/>
                            <w:sz w:val="18"/>
                            <w:szCs w:val="18"/>
                            <w:lang w:eastAsia="en-GB"/>
                          </w:rPr>
                          <w:t>ρούσ</w:t>
                        </w:r>
                        <w:proofErr w:type="spellEnd"/>
                        <w:r w:rsidRPr="005C5745">
                          <w:rPr>
                            <w:rFonts w:ascii="Verdana" w:eastAsia="Times New Roman" w:hAnsi="Verdana" w:cs="Times New Roman"/>
                            <w:b/>
                            <w:bCs/>
                            <w:color w:val="000000"/>
                            <w:sz w:val="18"/>
                            <w:szCs w:val="18"/>
                            <w:lang w:eastAsia="en-GB"/>
                          </w:rPr>
                          <w:t xml:space="preserve">α </w:t>
                        </w:r>
                        <w:proofErr w:type="spellStart"/>
                        <w:r w:rsidRPr="005C5745">
                          <w:rPr>
                            <w:rFonts w:ascii="Verdana" w:eastAsia="Times New Roman" w:hAnsi="Verdana" w:cs="Times New Roman"/>
                            <w:b/>
                            <w:bCs/>
                            <w:color w:val="000000"/>
                            <w:sz w:val="18"/>
                            <w:szCs w:val="18"/>
                            <w:lang w:eastAsia="en-GB"/>
                          </w:rPr>
                          <w:t>Αξί</w:t>
                        </w:r>
                        <w:proofErr w:type="spellEnd"/>
                        <w:r w:rsidRPr="005C5745">
                          <w:rPr>
                            <w:rFonts w:ascii="Verdana" w:eastAsia="Times New Roman" w:hAnsi="Verdana" w:cs="Times New Roman"/>
                            <w:b/>
                            <w:bCs/>
                            <w:color w:val="000000"/>
                            <w:sz w:val="18"/>
                            <w:szCs w:val="18"/>
                            <w:lang w:eastAsia="en-GB"/>
                          </w:rPr>
                          <w:t>α (</w:t>
                        </w:r>
                        <w:proofErr w:type="spellStart"/>
                        <w:r w:rsidRPr="005C5745">
                          <w:rPr>
                            <w:rFonts w:ascii="Verdana" w:eastAsia="Times New Roman" w:hAnsi="Verdana" w:cs="Times New Roman"/>
                            <w:b/>
                            <w:bCs/>
                            <w:color w:val="000000"/>
                            <w:sz w:val="18"/>
                            <w:szCs w:val="18"/>
                            <w:lang w:eastAsia="en-GB"/>
                          </w:rPr>
                          <w:t>NPV</w:t>
                        </w:r>
                        <w:proofErr w:type="spellEnd"/>
                        <w:r w:rsidRPr="005C5745">
                          <w:rPr>
                            <w:rFonts w:ascii="Verdana" w:eastAsia="Times New Roman" w:hAnsi="Verdana" w:cs="Times New Roman"/>
                            <w:b/>
                            <w:bCs/>
                            <w:color w:val="000000"/>
                            <w:sz w:val="18"/>
                            <w:szCs w:val="18"/>
                            <w:lang w:eastAsia="en-GB"/>
                          </w:rPr>
                          <w:t>)</w:t>
                        </w:r>
                        <w:r w:rsidRPr="005C5745">
                          <w:rPr>
                            <w:rFonts w:ascii="Verdana" w:eastAsia="Times New Roman" w:hAnsi="Verdana" w:cs="Times New Roman"/>
                            <w:color w:val="000000"/>
                            <w:sz w:val="18"/>
                            <w:szCs w:val="18"/>
                            <w:lang w:eastAsia="en-GB"/>
                          </w:rPr>
                          <w:t xml:space="preserve"> =</w:t>
                        </w:r>
                        <w:r w:rsidRPr="005C5745">
                          <w:rPr>
                            <w:rFonts w:ascii="Verdana" w:eastAsia="Times New Roman" w:hAnsi="Verdana" w:cs="Times New Roman"/>
                            <w:b/>
                            <w:bCs/>
                            <w:color w:val="000000"/>
                            <w:sz w:val="18"/>
                            <w:szCs w:val="18"/>
                            <w:lang w:eastAsia="en-GB"/>
                          </w:rPr>
                          <w:t xml:space="preserve"> €247.447,81</w:t>
                        </w:r>
                      </w:p>
                    </w:tc>
                  </w:tr>
                  <w:tr w:rsidR="005C5745" w:rsidRPr="005C5745" w14:paraId="434DF371" w14:textId="77777777">
                    <w:trPr>
                      <w:tblCellSpacing w:w="0" w:type="dxa"/>
                    </w:trPr>
                    <w:tc>
                      <w:tcPr>
                        <w:tcW w:w="195" w:type="dxa"/>
                        <w:vAlign w:val="bottom"/>
                        <w:hideMark/>
                      </w:tcPr>
                      <w:p w14:paraId="0DC5923C"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6F87AEE8"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b/>
                            <w:bCs/>
                            <w:color w:val="000000"/>
                            <w:sz w:val="18"/>
                            <w:szCs w:val="18"/>
                            <w:lang w:eastAsia="en-GB"/>
                          </w:rPr>
                          <w:t>Εσωτερικός</w:t>
                        </w:r>
                        <w:proofErr w:type="spellEnd"/>
                        <w:r w:rsidRPr="005C5745">
                          <w:rPr>
                            <w:rFonts w:ascii="Verdana" w:eastAsia="Times New Roman" w:hAnsi="Verdana" w:cs="Times New Roman"/>
                            <w:b/>
                            <w:bCs/>
                            <w:color w:val="000000"/>
                            <w:sz w:val="18"/>
                            <w:szCs w:val="18"/>
                            <w:lang w:eastAsia="en-GB"/>
                          </w:rPr>
                          <w:t xml:space="preserve"> Βα</w:t>
                        </w:r>
                        <w:proofErr w:type="spellStart"/>
                        <w:r w:rsidRPr="005C5745">
                          <w:rPr>
                            <w:rFonts w:ascii="Verdana" w:eastAsia="Times New Roman" w:hAnsi="Verdana" w:cs="Times New Roman"/>
                            <w:b/>
                            <w:bCs/>
                            <w:color w:val="000000"/>
                            <w:sz w:val="18"/>
                            <w:szCs w:val="18"/>
                            <w:lang w:eastAsia="en-GB"/>
                          </w:rPr>
                          <w:t>θμός</w:t>
                        </w:r>
                        <w:proofErr w:type="spellEnd"/>
                        <w:r w:rsidRPr="005C5745">
                          <w:rPr>
                            <w:rFonts w:ascii="Verdana" w:eastAsia="Times New Roman" w:hAnsi="Verdana" w:cs="Times New Roman"/>
                            <w:b/>
                            <w:bCs/>
                            <w:color w:val="000000"/>
                            <w:sz w:val="18"/>
                            <w:szCs w:val="18"/>
                            <w:lang w:eastAsia="en-GB"/>
                          </w:rPr>
                          <w:t xml:space="preserve"> Απ</w:t>
                        </w:r>
                        <w:proofErr w:type="spellStart"/>
                        <w:r w:rsidRPr="005C5745">
                          <w:rPr>
                            <w:rFonts w:ascii="Verdana" w:eastAsia="Times New Roman" w:hAnsi="Verdana" w:cs="Times New Roman"/>
                            <w:b/>
                            <w:bCs/>
                            <w:color w:val="000000"/>
                            <w:sz w:val="18"/>
                            <w:szCs w:val="18"/>
                            <w:lang w:eastAsia="en-GB"/>
                          </w:rPr>
                          <w:t>όδοσης</w:t>
                        </w:r>
                        <w:proofErr w:type="spellEnd"/>
                        <w:r w:rsidRPr="005C5745">
                          <w:rPr>
                            <w:rFonts w:ascii="Verdana" w:eastAsia="Times New Roman" w:hAnsi="Verdana" w:cs="Times New Roman"/>
                            <w:b/>
                            <w:bCs/>
                            <w:color w:val="000000"/>
                            <w:sz w:val="18"/>
                            <w:szCs w:val="18"/>
                            <w:lang w:eastAsia="en-GB"/>
                          </w:rPr>
                          <w:t xml:space="preserve"> (IRR)</w:t>
                        </w:r>
                        <w:r w:rsidRPr="005C5745">
                          <w:rPr>
                            <w:rFonts w:ascii="Verdana" w:eastAsia="Times New Roman" w:hAnsi="Verdana" w:cs="Times New Roman"/>
                            <w:color w:val="000000"/>
                            <w:sz w:val="18"/>
                            <w:szCs w:val="18"/>
                            <w:lang w:eastAsia="en-GB"/>
                          </w:rPr>
                          <w:t xml:space="preserve"> = </w:t>
                        </w:r>
                        <w:r w:rsidRPr="005C5745">
                          <w:rPr>
                            <w:rFonts w:ascii="Verdana" w:eastAsia="Times New Roman" w:hAnsi="Verdana" w:cs="Times New Roman"/>
                            <w:b/>
                            <w:bCs/>
                            <w:color w:val="000000"/>
                            <w:sz w:val="18"/>
                            <w:szCs w:val="18"/>
                            <w:lang w:eastAsia="en-GB"/>
                          </w:rPr>
                          <w:t>12%</w:t>
                        </w:r>
                      </w:p>
                    </w:tc>
                  </w:tr>
                </w:tbl>
                <w:p w14:paraId="208104F4" w14:textId="77777777" w:rsidR="005C5745" w:rsidRPr="005C5745" w:rsidRDefault="005C5745" w:rsidP="005C5745">
                  <w:pPr>
                    <w:spacing w:after="45" w:line="240" w:lineRule="auto"/>
                    <w:jc w:val="both"/>
                    <w:rPr>
                      <w:rFonts w:ascii="Verdana" w:eastAsia="Times New Roman" w:hAnsi="Verdana" w:cs="Times New Roman"/>
                      <w:vanish/>
                      <w:color w:val="000000"/>
                      <w:sz w:val="18"/>
                      <w:szCs w:val="18"/>
                      <w:lang w:eastAsia="en-GB"/>
                    </w:rPr>
                  </w:pPr>
                </w:p>
                <w:tbl>
                  <w:tblPr>
                    <w:tblW w:w="0" w:type="auto"/>
                    <w:tblCellSpacing w:w="0" w:type="dxa"/>
                    <w:tblCellMar>
                      <w:left w:w="0" w:type="dxa"/>
                      <w:right w:w="0" w:type="dxa"/>
                    </w:tblCellMar>
                    <w:tblLook w:val="04A0" w:firstRow="1" w:lastRow="0" w:firstColumn="1" w:lastColumn="0" w:noHBand="0" w:noVBand="1"/>
                  </w:tblPr>
                  <w:tblGrid>
                    <w:gridCol w:w="195"/>
                    <w:gridCol w:w="7955"/>
                  </w:tblGrid>
                  <w:tr w:rsidR="005C5745" w:rsidRPr="005C5745" w14:paraId="3482ED73" w14:textId="77777777" w:rsidTr="005C5745">
                    <w:trPr>
                      <w:tblCellSpacing w:w="0" w:type="dxa"/>
                    </w:trPr>
                    <w:tc>
                      <w:tcPr>
                        <w:tcW w:w="195" w:type="dxa"/>
                        <w:vAlign w:val="bottom"/>
                        <w:hideMark/>
                      </w:tcPr>
                      <w:p w14:paraId="10A7C262"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0ED8F6DB"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8"/>
                            <w:szCs w:val="18"/>
                            <w:lang w:val="el-GR" w:eastAsia="en-GB"/>
                          </w:rPr>
                          <w:t xml:space="preserve">Περίοδος </w:t>
                        </w:r>
                        <w:proofErr w:type="spellStart"/>
                        <w:r w:rsidRPr="005C5745">
                          <w:rPr>
                            <w:rFonts w:ascii="Verdana" w:eastAsia="Times New Roman" w:hAnsi="Verdana" w:cs="Times New Roman"/>
                            <w:b/>
                            <w:bCs/>
                            <w:color w:val="000000"/>
                            <w:sz w:val="18"/>
                            <w:szCs w:val="18"/>
                            <w:lang w:val="el-GR" w:eastAsia="en-GB"/>
                          </w:rPr>
                          <w:t>επανείσπραξης</w:t>
                        </w:r>
                        <w:proofErr w:type="spellEnd"/>
                        <w:r w:rsidRPr="005C5745">
                          <w:rPr>
                            <w:rFonts w:ascii="Verdana" w:eastAsia="Times New Roman" w:hAnsi="Verdana" w:cs="Times New Roman"/>
                            <w:b/>
                            <w:bCs/>
                            <w:color w:val="000000"/>
                            <w:sz w:val="18"/>
                            <w:szCs w:val="18"/>
                            <w:lang w:val="el-GR" w:eastAsia="en-GB"/>
                          </w:rPr>
                          <w:t xml:space="preserve"> </w:t>
                        </w:r>
                        <w:r w:rsidRPr="005C5745">
                          <w:rPr>
                            <w:rFonts w:ascii="Verdana" w:eastAsia="Times New Roman" w:hAnsi="Verdana" w:cs="Times New Roman"/>
                            <w:color w:val="000000"/>
                            <w:sz w:val="18"/>
                            <w:szCs w:val="18"/>
                            <w:lang w:val="el-GR" w:eastAsia="en-GB"/>
                          </w:rPr>
                          <w:t xml:space="preserve">(με βάση </w:t>
                        </w:r>
                        <w:proofErr w:type="spellStart"/>
                        <w:r w:rsidRPr="005C5745">
                          <w:rPr>
                            <w:rFonts w:ascii="Verdana" w:eastAsia="Times New Roman" w:hAnsi="Verdana" w:cs="Times New Roman"/>
                            <w:color w:val="000000"/>
                            <w:sz w:val="18"/>
                            <w:szCs w:val="18"/>
                            <w:lang w:val="el-GR" w:eastAsia="en-GB"/>
                          </w:rPr>
                          <w:t>προεξοφλημένες</w:t>
                        </w:r>
                        <w:proofErr w:type="spellEnd"/>
                        <w:r w:rsidRPr="005C5745">
                          <w:rPr>
                            <w:rFonts w:ascii="Verdana" w:eastAsia="Times New Roman" w:hAnsi="Verdana" w:cs="Times New Roman"/>
                            <w:color w:val="000000"/>
                            <w:sz w:val="18"/>
                            <w:szCs w:val="18"/>
                            <w:lang w:val="el-GR" w:eastAsia="en-GB"/>
                          </w:rPr>
                          <w:t xml:space="preserve"> καθαρές ταμειακές ροές) = </w:t>
                        </w:r>
                        <w:r w:rsidRPr="005C5745">
                          <w:rPr>
                            <w:rFonts w:ascii="Verdana" w:eastAsia="Times New Roman" w:hAnsi="Verdana" w:cs="Times New Roman"/>
                            <w:b/>
                            <w:bCs/>
                            <w:color w:val="000000"/>
                            <w:sz w:val="18"/>
                            <w:szCs w:val="18"/>
                            <w:lang w:val="el-GR" w:eastAsia="en-GB"/>
                          </w:rPr>
                          <w:t>9 έτη</w:t>
                        </w:r>
                      </w:p>
                    </w:tc>
                  </w:tr>
                  <w:tr w:rsidR="005C5745" w:rsidRPr="005C5745" w14:paraId="74F53EF5" w14:textId="77777777">
                    <w:trPr>
                      <w:tblCellSpacing w:w="0" w:type="dxa"/>
                    </w:trPr>
                    <w:tc>
                      <w:tcPr>
                        <w:tcW w:w="195" w:type="dxa"/>
                        <w:vAlign w:val="bottom"/>
                        <w:hideMark/>
                      </w:tcPr>
                      <w:p w14:paraId="1DDC2FF8"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Arial Unicode MS" w:eastAsia="Times New Roman" w:hAnsi="Arial Unicode MS" w:cs="Times New Roman"/>
                            <w:color w:val="000000"/>
                            <w:sz w:val="18"/>
                            <w:szCs w:val="18"/>
                            <w:lang w:val="el-GR" w:eastAsia="en-GB"/>
                          </w:rPr>
                          <w:t>▪</w:t>
                        </w:r>
                      </w:p>
                    </w:tc>
                    <w:tc>
                      <w:tcPr>
                        <w:tcW w:w="0" w:type="auto"/>
                        <w:vAlign w:val="bottom"/>
                        <w:hideMark/>
                      </w:tcPr>
                      <w:p w14:paraId="2328F2BF"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8"/>
                            <w:szCs w:val="18"/>
                            <w:lang w:val="el-GR" w:eastAsia="en-GB"/>
                          </w:rPr>
                          <w:t>Λόγος Οφέλους – Κόστους (</w:t>
                        </w:r>
                        <w:r w:rsidRPr="005C5745">
                          <w:rPr>
                            <w:rFonts w:ascii="Verdana" w:eastAsia="Times New Roman" w:hAnsi="Verdana" w:cs="Times New Roman"/>
                            <w:b/>
                            <w:bCs/>
                            <w:color w:val="000000"/>
                            <w:sz w:val="18"/>
                            <w:szCs w:val="18"/>
                            <w:lang w:eastAsia="en-GB"/>
                          </w:rPr>
                          <w:t>BC</w:t>
                        </w:r>
                        <w:r w:rsidRPr="005C5745">
                          <w:rPr>
                            <w:rFonts w:ascii="Verdana" w:eastAsia="Times New Roman" w:hAnsi="Verdana" w:cs="Times New Roman"/>
                            <w:b/>
                            <w:bCs/>
                            <w:color w:val="000000"/>
                            <w:sz w:val="18"/>
                            <w:szCs w:val="18"/>
                            <w:lang w:val="el-GR" w:eastAsia="en-GB"/>
                          </w:rPr>
                          <w:t>)</w:t>
                        </w:r>
                        <w:r w:rsidRPr="005C5745">
                          <w:rPr>
                            <w:rFonts w:ascii="Verdana" w:eastAsia="Times New Roman" w:hAnsi="Verdana" w:cs="Times New Roman"/>
                            <w:color w:val="000000"/>
                            <w:sz w:val="18"/>
                            <w:szCs w:val="18"/>
                            <w:lang w:val="el-GR" w:eastAsia="en-GB"/>
                          </w:rPr>
                          <w:t xml:space="preserve"> = </w:t>
                        </w:r>
                        <w:r w:rsidRPr="005C5745">
                          <w:rPr>
                            <w:rFonts w:ascii="Verdana" w:eastAsia="Times New Roman" w:hAnsi="Verdana" w:cs="Times New Roman"/>
                            <w:b/>
                            <w:bCs/>
                            <w:color w:val="000000"/>
                            <w:sz w:val="18"/>
                            <w:szCs w:val="18"/>
                            <w:lang w:val="el-GR" w:eastAsia="en-GB"/>
                          </w:rPr>
                          <w:t>1,09</w:t>
                        </w:r>
                        <w:r w:rsidRPr="005C5745">
                          <w:rPr>
                            <w:rFonts w:ascii="Verdana" w:eastAsia="Times New Roman" w:hAnsi="Verdana" w:cs="Times New Roman"/>
                            <w:color w:val="000000"/>
                            <w:sz w:val="18"/>
                            <w:szCs w:val="18"/>
                            <w:lang w:val="el-GR" w:eastAsia="en-GB"/>
                          </w:rPr>
                          <w:t xml:space="preserve"> </w:t>
                        </w:r>
                      </w:p>
                    </w:tc>
                  </w:tr>
                </w:tbl>
                <w:p w14:paraId="7F7D3855" w14:textId="77777777" w:rsidR="005C5745" w:rsidRPr="005C5745" w:rsidRDefault="005C5745" w:rsidP="005C5745">
                  <w:pPr>
                    <w:spacing w:before="45" w:after="45" w:line="240" w:lineRule="auto"/>
                    <w:ind w:left="90"/>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Σύμφωνα με τα κριτήρια της Καθαρής Παρούσας Αξίας και του λόγου Οφέλους – Κόστους,</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ο </w:t>
                  </w:r>
                  <w:r w:rsidRPr="005C5745">
                    <w:rPr>
                      <w:rFonts w:ascii="Verdana" w:eastAsia="Times New Roman" w:hAnsi="Verdana" w:cs="Times New Roman"/>
                      <w:b/>
                      <w:bCs/>
                      <w:color w:val="000000"/>
                      <w:sz w:val="18"/>
                      <w:szCs w:val="18"/>
                      <w:lang w:val="el-GR" w:eastAsia="en-GB"/>
                    </w:rPr>
                    <w:t>Δήμος θα πρέπει να επιλέξει τη δεύτερη επιλογή, δηλαδή να επενδύσει €1 εκατομμύριο για την αναβάθμιση του χώρου στάθμευσης και την αύξηση της χωρητικότητάς του</w:t>
                  </w:r>
                  <w:r w:rsidRPr="005C5745">
                    <w:rPr>
                      <w:rFonts w:ascii="Verdana" w:eastAsia="Times New Roman" w:hAnsi="Verdana" w:cs="Times New Roman"/>
                      <w:color w:val="000000"/>
                      <w:sz w:val="18"/>
                      <w:szCs w:val="18"/>
                      <w:lang w:val="el-GR" w:eastAsia="en-GB"/>
                    </w:rPr>
                    <w:t xml:space="preserve">, ακόμη και αν η πρώτη επιλογή έχει υψηλότερο Εσωτερικό Βαθμό Απόδοσης και μικρότερη περίοδο </w:t>
                  </w:r>
                  <w:proofErr w:type="spellStart"/>
                  <w:r w:rsidRPr="005C5745">
                    <w:rPr>
                      <w:rFonts w:ascii="Verdana" w:eastAsia="Times New Roman" w:hAnsi="Verdana" w:cs="Times New Roman"/>
                      <w:color w:val="000000"/>
                      <w:sz w:val="18"/>
                      <w:szCs w:val="18"/>
                      <w:lang w:val="el-GR" w:eastAsia="en-GB"/>
                    </w:rPr>
                    <w:t>επανείσπραξης</w:t>
                  </w:r>
                  <w:proofErr w:type="spellEnd"/>
                  <w:r w:rsidRPr="005C5745">
                    <w:rPr>
                      <w:rFonts w:ascii="Verdana" w:eastAsia="Times New Roman" w:hAnsi="Verdana" w:cs="Times New Roman"/>
                      <w:color w:val="000000"/>
                      <w:sz w:val="18"/>
                      <w:szCs w:val="18"/>
                      <w:lang w:val="el-GR" w:eastAsia="en-GB"/>
                    </w:rPr>
                    <w:t xml:space="preserve">. Ο λόγος για τον οποίο ο Δήμος δεν μπορεί να βασίσει την απόφασή του στον Εσωτερικό Βαθμό Απόδοσης ή την περίοδο </w:t>
                  </w:r>
                  <w:proofErr w:type="spellStart"/>
                  <w:r w:rsidRPr="005C5745">
                    <w:rPr>
                      <w:rFonts w:ascii="Verdana" w:eastAsia="Times New Roman" w:hAnsi="Verdana" w:cs="Times New Roman"/>
                      <w:color w:val="000000"/>
                      <w:sz w:val="18"/>
                      <w:szCs w:val="18"/>
                      <w:lang w:val="el-GR" w:eastAsia="en-GB"/>
                    </w:rPr>
                    <w:t>επανείσπραξης</w:t>
                  </w:r>
                  <w:proofErr w:type="spellEnd"/>
                  <w:r w:rsidRPr="005C5745">
                    <w:rPr>
                      <w:rFonts w:ascii="Verdana" w:eastAsia="Times New Roman" w:hAnsi="Verdana" w:cs="Times New Roman"/>
                      <w:color w:val="000000"/>
                      <w:sz w:val="18"/>
                      <w:szCs w:val="18"/>
                      <w:lang w:val="el-GR" w:eastAsia="en-GB"/>
                    </w:rPr>
                    <w:t xml:space="preserve"> εντοπίζεται στις αδυναμίες των δύο αυτών μεθόδων, που περιγράφονται στο κυρίως κείμενο. </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tc>
            </w:tr>
          </w:tbl>
          <w:p w14:paraId="1909996A"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eastAsia="en-GB"/>
              </w:rPr>
              <w:t> </w:t>
            </w:r>
          </w:p>
          <w:p w14:paraId="204F2C1D"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noProof/>
                <w:color w:val="000000"/>
                <w:sz w:val="18"/>
                <w:szCs w:val="18"/>
                <w:lang w:eastAsia="en-GB"/>
              </w:rPr>
              <w:drawing>
                <wp:inline distT="0" distB="0" distL="0" distR="0" wp14:anchorId="5A847938" wp14:editId="272B4937">
                  <wp:extent cx="400050" cy="257175"/>
                  <wp:effectExtent l="0" t="0" r="0" b="9525"/>
                  <wp:docPr id="26" name="Picture 26" descr="http://www.publicprocurementguides.treasury.gov.cy/OHS-GR/HTML/embim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ublicprocurementguides.treasury.gov.cy/OHS-GR/HTML/embim97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5C5745">
              <w:rPr>
                <w:rFonts w:ascii="Verdana" w:eastAsia="Times New Roman" w:hAnsi="Verdana" w:cs="Times New Roman"/>
                <w:color w:val="000000"/>
                <w:sz w:val="18"/>
                <w:szCs w:val="18"/>
                <w:lang w:val="el-GR" w:eastAsia="en-GB"/>
              </w:rPr>
              <w:t xml:space="preserve">Μετά τη διεξαγωγή των παραπάνω εργασιών, σας συμβουλεύουμε να διεξαγάγετε ανάλυση κινδύνων για να μελετήσετε την πιθανότητα ενός έργου να επιτύχει ικανοποιητική απόδοση (με όρους Εσωτερικού Βαθμού Απόδοσης ή ΚΠΑ), καθώς και την μεταβλητότητα του αποτελέσματος σε σύγκριση με την προηγούμενη βέλτιστη εκτίμηση. Μία από τις συνηθέστερα χρησιμοποιούμενες μεθόδους για αυτό είναι η </w:t>
            </w:r>
            <w:r w:rsidRPr="005C5745">
              <w:rPr>
                <w:rFonts w:ascii="Verdana" w:eastAsia="Times New Roman" w:hAnsi="Verdana" w:cs="Times New Roman"/>
                <w:b/>
                <w:bCs/>
                <w:color w:val="000080"/>
                <w:sz w:val="18"/>
                <w:szCs w:val="18"/>
                <w:lang w:val="el-GR" w:eastAsia="en-GB"/>
              </w:rPr>
              <w:t>Ανάλυση Ευαισθησίας (</w:t>
            </w:r>
            <w:r w:rsidRPr="005C5745">
              <w:rPr>
                <w:rFonts w:ascii="Verdana" w:eastAsia="Times New Roman" w:hAnsi="Verdana" w:cs="Times New Roman"/>
                <w:b/>
                <w:bCs/>
                <w:color w:val="000080"/>
                <w:sz w:val="18"/>
                <w:szCs w:val="18"/>
                <w:lang w:eastAsia="en-GB"/>
              </w:rPr>
              <w:t>Sensitivity</w:t>
            </w:r>
            <w:r w:rsidRPr="005C5745">
              <w:rPr>
                <w:rFonts w:ascii="Verdana" w:eastAsia="Times New Roman" w:hAnsi="Verdana" w:cs="Times New Roman"/>
                <w:b/>
                <w:bCs/>
                <w:color w:val="000080"/>
                <w:sz w:val="18"/>
                <w:szCs w:val="18"/>
                <w:lang w:val="el-GR" w:eastAsia="en-GB"/>
              </w:rPr>
              <w:t xml:space="preserve"> </w:t>
            </w:r>
            <w:r w:rsidRPr="005C5745">
              <w:rPr>
                <w:rFonts w:ascii="Verdana" w:eastAsia="Times New Roman" w:hAnsi="Verdana" w:cs="Times New Roman"/>
                <w:b/>
                <w:bCs/>
                <w:color w:val="000080"/>
                <w:sz w:val="18"/>
                <w:szCs w:val="18"/>
                <w:lang w:eastAsia="en-GB"/>
              </w:rPr>
              <w:t>Analysis</w:t>
            </w:r>
            <w:r w:rsidRPr="005C5745">
              <w:rPr>
                <w:rFonts w:ascii="Verdana" w:eastAsia="Times New Roman" w:hAnsi="Verdana" w:cs="Times New Roman"/>
                <w:b/>
                <w:bCs/>
                <w:color w:val="000080"/>
                <w:sz w:val="18"/>
                <w:szCs w:val="18"/>
                <w:lang w:val="el-GR" w:eastAsia="en-GB"/>
              </w:rPr>
              <w:t>)</w:t>
            </w:r>
            <w:r w:rsidRPr="005C5745">
              <w:rPr>
                <w:rFonts w:ascii="Verdana" w:eastAsia="Times New Roman" w:hAnsi="Verdana" w:cs="Times New Roman"/>
                <w:color w:val="000000"/>
                <w:sz w:val="18"/>
                <w:szCs w:val="18"/>
                <w:lang w:val="el-GR" w:eastAsia="en-GB"/>
              </w:rPr>
              <w:t>. Σκοπός της ανάλυσης ευαισθησίας είναι να επιλεγούν οι «κρίσιμες» μεταβλητές και παράμετροι του μοντέλου της Ανάλυσης Κόστους-Οφέλους, δηλαδή εκείνες των οποίων οι μεταβολές, θετικές ή αρνητικές, σε σύγκριση με την τιμή που χρησιμοποιήθηκε ως βέλτιστη εκτίμηση, προκαλούν τις σημαντικότερες μεταβολές στον Εσωτερικό Βαθμό Απόδοσης και στην ΚΠΑ. Τα κριτήρια που πρέπει να υιοθετούνται για την επιλογή των κρίσιμων μεταβλητών ποικίλλουν ανάλογα με το συγκεκριμένο Έργο και πρέπει να αξιολογούνται με ακρίβεια ανά περίπτωση. Ως γενικό κριτήριο, συνιστάται η εξέταση των παραμέτρων εκείνων των οποίων η μεταβολή (θετική ή αρνητική) κατά 1% προκαλεί αντίστοιχη μεταβολή κατά 1% του Εσωτερικού Βαθμού Απόδοσης ή κατά 5% της βασικής αξίας της Καθαρής Παρούσας Αξίας</w:t>
            </w:r>
            <w:hyperlink r:id="rId15" w:history="1">
              <w:r w:rsidRPr="005C5745">
                <w:rPr>
                  <w:rFonts w:ascii="Verdana" w:eastAsia="Times New Roman" w:hAnsi="Verdana" w:cs="Times New Roman"/>
                  <w:color w:val="0000FF"/>
                  <w:sz w:val="12"/>
                  <w:szCs w:val="12"/>
                  <w:u w:val="single"/>
                  <w:vertAlign w:val="superscript"/>
                  <w:lang w:val="el-GR" w:eastAsia="en-GB"/>
                </w:rPr>
                <w:t>1</w:t>
              </w:r>
            </w:hyperlink>
            <w:r w:rsidRPr="005C5745">
              <w:rPr>
                <w:rFonts w:ascii="Verdana" w:eastAsia="Times New Roman" w:hAnsi="Verdana" w:cs="Times New Roman"/>
                <w:vanish/>
                <w:color w:val="000000"/>
                <w:sz w:val="12"/>
                <w:szCs w:val="12"/>
                <w:vertAlign w:val="superscript"/>
                <w:lang w:val="el-GR" w:eastAsia="en-GB"/>
              </w:rPr>
              <w:t xml:space="preserve"> [ Σύμφωνα με τον «Οδηγό για την ανάλυση κόστους-οφέλους για επενδυτικά έργα» (Διαρθρωτικά Ταμεία - Ευρωπαϊκό Ταμείο Περιφερειακής Ανάπτυξης (</w:t>
            </w:r>
            <w:r w:rsidRPr="005C5745">
              <w:rPr>
                <w:rFonts w:ascii="Verdana" w:eastAsia="Times New Roman" w:hAnsi="Verdana" w:cs="Times New Roman"/>
                <w:vanish/>
                <w:color w:val="000000"/>
                <w:sz w:val="12"/>
                <w:szCs w:val="12"/>
                <w:vertAlign w:val="superscript"/>
                <w:lang w:eastAsia="en-GB"/>
              </w:rPr>
              <w:t>ERDF</w:t>
            </w:r>
            <w:r w:rsidRPr="005C5745">
              <w:rPr>
                <w:rFonts w:ascii="Verdana" w:eastAsia="Times New Roman" w:hAnsi="Verdana" w:cs="Times New Roman"/>
                <w:vanish/>
                <w:color w:val="000000"/>
                <w:sz w:val="12"/>
                <w:szCs w:val="12"/>
                <w:vertAlign w:val="superscript"/>
                <w:lang w:val="el-GR" w:eastAsia="en-GB"/>
              </w:rPr>
              <w:t>), Ταμείο Συνοχής και Μέσο Προενταξιακών Διαρθρωτικών Πολιτικών (</w:t>
            </w:r>
            <w:r w:rsidRPr="005C5745">
              <w:rPr>
                <w:rFonts w:ascii="Verdana" w:eastAsia="Times New Roman" w:hAnsi="Verdana" w:cs="Times New Roman"/>
                <w:vanish/>
                <w:color w:val="000000"/>
                <w:sz w:val="12"/>
                <w:szCs w:val="12"/>
                <w:vertAlign w:val="superscript"/>
                <w:lang w:eastAsia="en-GB"/>
              </w:rPr>
              <w:t>ISPA</w:t>
            </w:r>
            <w:r w:rsidRPr="005C5745">
              <w:rPr>
                <w:rFonts w:ascii="Verdana" w:eastAsia="Times New Roman" w:hAnsi="Verdana" w:cs="Times New Roman"/>
                <w:vanish/>
                <w:color w:val="000000"/>
                <w:sz w:val="12"/>
                <w:szCs w:val="12"/>
                <w:vertAlign w:val="superscript"/>
                <w:lang w:val="el-GR" w:eastAsia="en-GB"/>
              </w:rPr>
              <w:t>)). ]</w:t>
            </w:r>
            <w:r w:rsidRPr="005C5745">
              <w:rPr>
                <w:rFonts w:ascii="Verdana" w:eastAsia="Times New Roman" w:hAnsi="Verdana" w:cs="Times New Roman"/>
                <w:color w:val="000000"/>
                <w:sz w:val="18"/>
                <w:szCs w:val="18"/>
                <w:lang w:val="el-GR" w:eastAsia="en-GB"/>
              </w:rPr>
              <w:t>.</w:t>
            </w:r>
          </w:p>
          <w:p w14:paraId="185C0C49"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Η ανάλυση ευαισθησίας μπορεί να βοηθήσει στην ανάδειξη των παραγόντων εκείνων που απαιτούν ιδιαίτερα προσεκτική εκτίμηση ή διαχείριση. Η ανάλυση αυτή μπορεί να δώσει απάντηση σε δύο βασικές ερωτήσεις:</w:t>
            </w:r>
          </w:p>
          <w:tbl>
            <w:tblPr>
              <w:tblW w:w="0" w:type="auto"/>
              <w:tblCellSpacing w:w="0" w:type="dxa"/>
              <w:tblCellMar>
                <w:left w:w="0" w:type="dxa"/>
                <w:right w:w="0" w:type="dxa"/>
              </w:tblCellMar>
              <w:tblLook w:val="04A0" w:firstRow="1" w:lastRow="0" w:firstColumn="1" w:lastColumn="0" w:noHBand="0" w:noVBand="1"/>
            </w:tblPr>
            <w:tblGrid>
              <w:gridCol w:w="345"/>
              <w:gridCol w:w="12042"/>
            </w:tblGrid>
            <w:tr w:rsidR="005C5745" w:rsidRPr="005C5745" w14:paraId="30B29738" w14:textId="77777777" w:rsidTr="005C5745">
              <w:trPr>
                <w:tblCellSpacing w:w="0" w:type="dxa"/>
              </w:trPr>
              <w:tc>
                <w:tcPr>
                  <w:tcW w:w="345" w:type="dxa"/>
                  <w:vAlign w:val="bottom"/>
                  <w:hideMark/>
                </w:tcPr>
                <w:p w14:paraId="1E500564"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7EEBA1FE"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Η συγκεκριμένη επιλογή θα άξιζε να υλοποιηθεί ακόμη και αν κάποια από τις κύριες υποθέσεις εργασίας δεν ισχύει;</w:t>
                  </w:r>
                </w:p>
              </w:tc>
            </w:tr>
            <w:tr w:rsidR="005C5745" w:rsidRPr="005C5745" w14:paraId="36C6733C" w14:textId="77777777">
              <w:trPr>
                <w:tblCellSpacing w:w="0" w:type="dxa"/>
              </w:trPr>
              <w:tc>
                <w:tcPr>
                  <w:tcW w:w="345" w:type="dxa"/>
                  <w:vAlign w:val="bottom"/>
                  <w:hideMark/>
                </w:tcPr>
                <w:p w14:paraId="4E600241" w14:textId="77777777" w:rsidR="005C5745" w:rsidRPr="005C5745" w:rsidRDefault="005C5745" w:rsidP="005C5745">
                  <w:pPr>
                    <w:spacing w:after="0" w:line="240" w:lineRule="auto"/>
                    <w:rPr>
                      <w:rFonts w:ascii="Verdana" w:eastAsia="Times New Roman" w:hAnsi="Verdana" w:cs="Times New Roman"/>
                      <w:color w:val="000000"/>
                      <w:sz w:val="18"/>
                      <w:szCs w:val="18"/>
                      <w:lang w:eastAsia="en-GB"/>
                    </w:rPr>
                  </w:pPr>
                  <w:r w:rsidRPr="005C5745">
                    <w:rPr>
                      <w:rFonts w:ascii="Arial Unicode MS" w:eastAsia="Times New Roman" w:hAnsi="Arial Unicode MS" w:cs="Times New Roman"/>
                      <w:color w:val="000000"/>
                      <w:sz w:val="18"/>
                      <w:szCs w:val="18"/>
                      <w:lang w:eastAsia="en-GB"/>
                    </w:rPr>
                    <w:t>●</w:t>
                  </w:r>
                </w:p>
              </w:tc>
              <w:tc>
                <w:tcPr>
                  <w:tcW w:w="0" w:type="auto"/>
                  <w:vAlign w:val="bottom"/>
                  <w:hideMark/>
                </w:tcPr>
                <w:p w14:paraId="54435952" w14:textId="77777777" w:rsidR="005C5745" w:rsidRPr="005C5745" w:rsidRDefault="005C5745" w:rsidP="005C5745">
                  <w:pPr>
                    <w:spacing w:after="0"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Υπάρχουν ενέργειες που μπορούν να αναληφθούν ώστε να μειωθούν οι κίνδυνοι πριν από την αποδοχή μίας συγκεκριμένης επιλογής; </w:t>
                  </w:r>
                </w:p>
              </w:tc>
            </w:tr>
          </w:tbl>
          <w:p w14:paraId="763F9378"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Η απλούστερη μορφή ανάλυσης ευαισθησίας είναι η </w:t>
            </w:r>
            <w:r w:rsidRPr="005C5745">
              <w:rPr>
                <w:rFonts w:ascii="Verdana" w:eastAsia="Times New Roman" w:hAnsi="Verdana" w:cs="Times New Roman"/>
                <w:b/>
                <w:bCs/>
                <w:color w:val="000080"/>
                <w:sz w:val="18"/>
                <w:szCs w:val="18"/>
                <w:lang w:val="el-GR" w:eastAsia="en-GB"/>
              </w:rPr>
              <w:t>Ανάλυση Σεναρίων (</w:t>
            </w:r>
            <w:r w:rsidRPr="005C5745">
              <w:rPr>
                <w:rFonts w:ascii="Verdana" w:eastAsia="Times New Roman" w:hAnsi="Verdana" w:cs="Times New Roman"/>
                <w:b/>
                <w:bCs/>
                <w:color w:val="000080"/>
                <w:sz w:val="18"/>
                <w:szCs w:val="18"/>
                <w:lang w:eastAsia="en-GB"/>
              </w:rPr>
              <w:t>Scenario</w:t>
            </w:r>
            <w:r w:rsidRPr="005C5745">
              <w:rPr>
                <w:rFonts w:ascii="Verdana" w:eastAsia="Times New Roman" w:hAnsi="Verdana" w:cs="Times New Roman"/>
                <w:b/>
                <w:bCs/>
                <w:color w:val="000080"/>
                <w:sz w:val="18"/>
                <w:szCs w:val="18"/>
                <w:lang w:val="el-GR" w:eastAsia="en-GB"/>
              </w:rPr>
              <w:t xml:space="preserve"> </w:t>
            </w:r>
            <w:r w:rsidRPr="005C5745">
              <w:rPr>
                <w:rFonts w:ascii="Verdana" w:eastAsia="Times New Roman" w:hAnsi="Verdana" w:cs="Times New Roman"/>
                <w:b/>
                <w:bCs/>
                <w:color w:val="000080"/>
                <w:sz w:val="18"/>
                <w:szCs w:val="18"/>
                <w:lang w:eastAsia="en-GB"/>
              </w:rPr>
              <w:t>Analysis</w:t>
            </w:r>
            <w:r w:rsidRPr="005C5745">
              <w:rPr>
                <w:rFonts w:ascii="Verdana" w:eastAsia="Times New Roman" w:hAnsi="Verdana" w:cs="Times New Roman"/>
                <w:b/>
                <w:bCs/>
                <w:color w:val="000080"/>
                <w:sz w:val="18"/>
                <w:szCs w:val="18"/>
                <w:lang w:val="el-GR" w:eastAsia="en-GB"/>
              </w:rPr>
              <w:t>)</w:t>
            </w:r>
            <w:r w:rsidRPr="005C5745">
              <w:rPr>
                <w:rFonts w:ascii="Verdana" w:eastAsia="Times New Roman" w:hAnsi="Verdana" w:cs="Times New Roman"/>
                <w:color w:val="000000"/>
                <w:sz w:val="18"/>
                <w:szCs w:val="18"/>
                <w:lang w:val="el-GR" w:eastAsia="en-GB"/>
              </w:rPr>
              <w:t>. Η ανάλυση σεναρίων γίνεται θέτοντας υποθετικές ερωτήσεις και υπολογίζοντας εκ νέου την αναμενόμενη ΚΠΑ ή τον Εσωτερικό Βαθμό Απόδοσης για διάφορα σενάρια.</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Για παράδειγμα, τι θα συνέβαινε αν μία ή περισσότερες «κρίσιμες» μεταβλητές μεταβάλλονταν κατά ±10% ή ±50% ή κατά ένα οποιοδήποτε ρεαλιστικό και πιθανό ποσοστό. Αν, μετά την εξέταση των διαφόρων σεναρίων, οι ΚΠΑ και οι Εσωτερικοί Βαθμοί Απόδοσης δεν μεταβάλλονται τόσο ώστε να επηρεάσουν την τελική απόφαση, τότε πιθανώς να ενισχύεται η βεβαιότητα για την ευστάθεια της ανάλυσης και τα καθαρά οφέλη της πρότασης/ επιλογής.</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tbl>
            <w:tblPr>
              <w:tblW w:w="0" w:type="auto"/>
              <w:shd w:val="clear" w:color="auto" w:fill="CCFFFF"/>
              <w:tblCellMar>
                <w:left w:w="0" w:type="dxa"/>
                <w:right w:w="0" w:type="dxa"/>
              </w:tblCellMar>
              <w:tblLook w:val="04A0" w:firstRow="1" w:lastRow="0" w:firstColumn="1" w:lastColumn="0" w:noHBand="0" w:noVBand="1"/>
            </w:tblPr>
            <w:tblGrid>
              <w:gridCol w:w="13792"/>
            </w:tblGrid>
            <w:tr w:rsidR="005C5745" w:rsidRPr="005C5745" w14:paraId="43A18456" w14:textId="77777777" w:rsidTr="005C5745">
              <w:tc>
                <w:tcPr>
                  <w:tcW w:w="0" w:type="auto"/>
                  <w:tcBorders>
                    <w:top w:val="single" w:sz="6" w:space="0" w:color="000000"/>
                    <w:left w:val="single" w:sz="6" w:space="0" w:color="000000"/>
                    <w:bottom w:val="single" w:sz="6" w:space="0" w:color="000000"/>
                    <w:right w:val="single" w:sz="6" w:space="0" w:color="000000"/>
                  </w:tcBorders>
                  <w:shd w:val="clear" w:color="auto" w:fill="CCFFFF"/>
                  <w:hideMark/>
                </w:tcPr>
                <w:p w14:paraId="00095829" w14:textId="77777777" w:rsidR="005C5745" w:rsidRPr="005C5745" w:rsidRDefault="005C5745" w:rsidP="005C5745">
                  <w:pPr>
                    <w:spacing w:before="45" w:after="45" w:line="240" w:lineRule="auto"/>
                    <w:ind w:left="90"/>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Στην περίπτωση που εξετάζουμε, οι </w:t>
                  </w:r>
                  <w:r w:rsidRPr="005C5745">
                    <w:rPr>
                      <w:rFonts w:ascii="Verdana" w:eastAsia="Times New Roman" w:hAnsi="Verdana" w:cs="Times New Roman"/>
                      <w:b/>
                      <w:bCs/>
                      <w:color w:val="000000"/>
                      <w:sz w:val="18"/>
                      <w:szCs w:val="18"/>
                      <w:lang w:val="el-GR" w:eastAsia="en-GB"/>
                    </w:rPr>
                    <w:t>κρίσιμες μεταβλητές</w:t>
                  </w:r>
                  <w:r w:rsidRPr="005C5745">
                    <w:rPr>
                      <w:rFonts w:ascii="Verdana" w:eastAsia="Times New Roman" w:hAnsi="Verdana" w:cs="Times New Roman"/>
                      <w:color w:val="000000"/>
                      <w:sz w:val="18"/>
                      <w:szCs w:val="18"/>
                      <w:lang w:val="el-GR" w:eastAsia="en-GB"/>
                    </w:rPr>
                    <w:t xml:space="preserve"> του μοντέλου ανάλυσης κόστους-οφέλους είναι το </w:t>
                  </w:r>
                  <w:r w:rsidRPr="005C5745">
                    <w:rPr>
                      <w:rFonts w:ascii="Verdana" w:eastAsia="Times New Roman" w:hAnsi="Verdana" w:cs="Times New Roman"/>
                      <w:b/>
                      <w:bCs/>
                      <w:i/>
                      <w:iCs/>
                      <w:color w:val="000000"/>
                      <w:sz w:val="18"/>
                      <w:szCs w:val="18"/>
                      <w:lang w:val="el-GR" w:eastAsia="en-GB"/>
                    </w:rPr>
                    <w:t>λειτουργικό κόστος</w:t>
                  </w:r>
                  <w:r w:rsidRPr="005C5745">
                    <w:rPr>
                      <w:rFonts w:ascii="Verdana" w:eastAsia="Times New Roman" w:hAnsi="Verdana" w:cs="Times New Roman"/>
                      <w:color w:val="000000"/>
                      <w:sz w:val="18"/>
                      <w:szCs w:val="18"/>
                      <w:lang w:val="el-GR" w:eastAsia="en-GB"/>
                    </w:rPr>
                    <w:t xml:space="preserve"> και τα </w:t>
                  </w:r>
                  <w:r w:rsidRPr="005C5745">
                    <w:rPr>
                      <w:rFonts w:ascii="Verdana" w:eastAsia="Times New Roman" w:hAnsi="Verdana" w:cs="Times New Roman"/>
                      <w:b/>
                      <w:bCs/>
                      <w:i/>
                      <w:iCs/>
                      <w:color w:val="000000"/>
                      <w:sz w:val="18"/>
                      <w:szCs w:val="18"/>
                      <w:lang w:val="el-GR" w:eastAsia="en-GB"/>
                    </w:rPr>
                    <w:t>έσοδα</w:t>
                  </w:r>
                  <w:r w:rsidRPr="005C5745">
                    <w:rPr>
                      <w:rFonts w:ascii="Verdana" w:eastAsia="Times New Roman" w:hAnsi="Verdana" w:cs="Times New Roman"/>
                      <w:color w:val="000000"/>
                      <w:sz w:val="18"/>
                      <w:szCs w:val="18"/>
                      <w:lang w:val="el-GR" w:eastAsia="en-GB"/>
                    </w:rPr>
                    <w:t xml:space="preserve"> από τα τέλη στάθμευσης, καθώς μικρή μεταβολή τους επηρεάζει σημαντικά τις τιμές της ΚΠΑ και του Εσωτερικού Βαθμού Απόδοσης. Κατά συνέπεια, είναι χρήσιμη η εξέταση της ευαισθησίας του μοντέλου ως προς τις παραμέτρους αυτές, με τη μελέτη μερικών εναλλακτικών σεναρίων. Τα αποτελέσματα της ανάλυσης σεναρίων και για τις δύο επιλογές παρουσιάζονται στον ακόλουθο πίνακα (Πίνακας 5). </w:t>
                  </w:r>
                </w:p>
                <w:p w14:paraId="0187D039" w14:textId="77777777" w:rsidR="005C5745" w:rsidRPr="005C5745" w:rsidRDefault="005C5745" w:rsidP="005C5745">
                  <w:pPr>
                    <w:spacing w:before="45" w:after="45" w:line="240" w:lineRule="auto"/>
                    <w:ind w:left="90"/>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Τα αποτελέσματα έδειξαν ότι η πρώτη επιλογή παρουσιάζει μεγάλη ευαισθησία σε οποιαδήποτε μεταβολή των κρίσιμων παραμέτρων. Πιο συγκεκριμένα, αν το προβλεπόμενο λειτουργικό κόστος αυξηθεί κατά 5% ή τα προσδοκώμενα έσοδα μειωθούν κατά 5%, η επιλογή να μην επενδυθεί €1 εκ. φαίνεται οικονομικά μη βιώσιμη (αρνητική ΚΠΑ και Εσωτερικός Βαθμός Απόδοσης μικρότερος από το προεξοφλητικό επιτόκιο). Επιπλέον, η ανάλυση έδειξε ότι ακόμη και αν η εκτίμηση για τα έσοδα ήταν αισιόδοξη (δηλαδή υψηλότερα κατά 2%), η πρώτη επιλογή θα έδινε μικρότερη ΚΠΑ σε σύγκριση με την επιλογή να επενδυθεί €1 εκ., άρα δεν θα ήταν προτιμότερη ούτε σε αυτή την περίπτωση. Από την άλλη πλευρά, η δεύτερη επιλογή παράγει καθαρό όφελος ακόμη και αν μελετήσουμε πιο συντηρητικά ή απαισιόδοξα σενάρια (δηλαδή, αύξηση λειτουργικού κόστους ή μείωση εσόδων).</w:t>
                  </w:r>
                </w:p>
                <w:p w14:paraId="524BDE71" w14:textId="77777777" w:rsidR="005C5745" w:rsidRPr="005C5745" w:rsidRDefault="005C5745" w:rsidP="005C5745">
                  <w:pPr>
                    <w:spacing w:before="45" w:after="45" w:line="240" w:lineRule="auto"/>
                    <w:ind w:left="90"/>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8"/>
                      <w:szCs w:val="18"/>
                      <w:lang w:val="el-GR" w:eastAsia="en-GB"/>
                    </w:rPr>
                    <w:t xml:space="preserve">Συνεπώς, τα αποτελέσματα της </w:t>
                  </w:r>
                  <w:proofErr w:type="spellStart"/>
                  <w:r w:rsidRPr="005C5745">
                    <w:rPr>
                      <w:rFonts w:ascii="Verdana" w:eastAsia="Times New Roman" w:hAnsi="Verdana" w:cs="Times New Roman"/>
                      <w:color w:val="000000"/>
                      <w:sz w:val="18"/>
                      <w:szCs w:val="18"/>
                      <w:lang w:val="el-GR" w:eastAsia="en-GB"/>
                    </w:rPr>
                    <w:t>πραγματοποιηθείσας</w:t>
                  </w:r>
                  <w:proofErr w:type="spellEnd"/>
                  <w:r w:rsidRPr="005C5745">
                    <w:rPr>
                      <w:rFonts w:ascii="Verdana" w:eastAsia="Times New Roman" w:hAnsi="Verdana" w:cs="Times New Roman"/>
                      <w:color w:val="000000"/>
                      <w:sz w:val="18"/>
                      <w:szCs w:val="18"/>
                      <w:lang w:val="el-GR" w:eastAsia="en-GB"/>
                    </w:rPr>
                    <w:t xml:space="preserve"> ανάλυσης μας δίνουν τη δυνατότητα να νιώθουμε μεγαλύτερη βεβαιότητα για τη χρήση του συγκεκριμένου μοντέλου Ανάλυσης Κόστους/ Οφέλους, άρα και για την αρχική μας απόφαση να προχωρήσουμε με τη δεύτερη επιλογή (να επενδυθεί €1 εκ.).</w:t>
                  </w:r>
                  <w:r w:rsidRPr="005C5745">
                    <w:rPr>
                      <w:rFonts w:ascii="Verdana" w:eastAsia="Times New Roman" w:hAnsi="Verdana" w:cs="Times New Roman"/>
                      <w:color w:val="000000"/>
                      <w:sz w:val="18"/>
                      <w:szCs w:val="18"/>
                      <w:lang w:eastAsia="en-GB"/>
                    </w:rPr>
                    <w:t>  </w:t>
                  </w:r>
                  <w:r w:rsidRPr="005C5745">
                    <w:rPr>
                      <w:rFonts w:ascii="Verdana" w:eastAsia="Times New Roman" w:hAnsi="Verdana" w:cs="Times New Roman"/>
                      <w:color w:val="000000"/>
                      <w:sz w:val="18"/>
                      <w:szCs w:val="18"/>
                      <w:lang w:val="el-GR" w:eastAsia="en-GB"/>
                    </w:rPr>
                    <w:t xml:space="preserve"> </w:t>
                  </w:r>
                </w:p>
              </w:tc>
            </w:tr>
          </w:tbl>
          <w:p w14:paraId="265EBA00"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color w:val="000000"/>
                <w:sz w:val="18"/>
                <w:szCs w:val="18"/>
                <w:lang w:eastAsia="en-GB"/>
              </w:rPr>
              <w:t> </w:t>
            </w:r>
          </w:p>
          <w:p w14:paraId="1B1254EA"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b/>
                <w:bCs/>
                <w:color w:val="000000"/>
                <w:sz w:val="16"/>
                <w:szCs w:val="16"/>
                <w:lang w:eastAsia="en-GB"/>
              </w:rPr>
              <w:t>Πίν</w:t>
            </w:r>
            <w:proofErr w:type="spellEnd"/>
            <w:r w:rsidRPr="005C5745">
              <w:rPr>
                <w:rFonts w:ascii="Verdana" w:eastAsia="Times New Roman" w:hAnsi="Verdana" w:cs="Times New Roman"/>
                <w:b/>
                <w:bCs/>
                <w:color w:val="000000"/>
                <w:sz w:val="16"/>
                <w:szCs w:val="16"/>
                <w:lang w:eastAsia="en-GB"/>
              </w:rPr>
              <w:t>ακας 3: Απ</w:t>
            </w:r>
            <w:proofErr w:type="spellStart"/>
            <w:r w:rsidRPr="005C5745">
              <w:rPr>
                <w:rFonts w:ascii="Verdana" w:eastAsia="Times New Roman" w:hAnsi="Verdana" w:cs="Times New Roman"/>
                <w:b/>
                <w:bCs/>
                <w:color w:val="000000"/>
                <w:sz w:val="16"/>
                <w:szCs w:val="16"/>
                <w:lang w:eastAsia="en-GB"/>
              </w:rPr>
              <w:t>οτελέσμ</w:t>
            </w:r>
            <w:proofErr w:type="spellEnd"/>
            <w:r w:rsidRPr="005C5745">
              <w:rPr>
                <w:rFonts w:ascii="Verdana" w:eastAsia="Times New Roman" w:hAnsi="Verdana" w:cs="Times New Roman"/>
                <w:b/>
                <w:bCs/>
                <w:color w:val="000000"/>
                <w:sz w:val="16"/>
                <w:szCs w:val="16"/>
                <w:lang w:eastAsia="en-GB"/>
              </w:rPr>
              <w:t xml:space="preserve">ατα </w:t>
            </w:r>
            <w:proofErr w:type="spellStart"/>
            <w:r w:rsidRPr="005C5745">
              <w:rPr>
                <w:rFonts w:ascii="Verdana" w:eastAsia="Times New Roman" w:hAnsi="Verdana" w:cs="Times New Roman"/>
                <w:b/>
                <w:bCs/>
                <w:color w:val="000000"/>
                <w:sz w:val="16"/>
                <w:szCs w:val="16"/>
                <w:lang w:eastAsia="en-GB"/>
              </w:rPr>
              <w:t>Ανάλυσης</w:t>
            </w:r>
            <w:proofErr w:type="spellEnd"/>
            <w:r w:rsidRPr="005C5745">
              <w:rPr>
                <w:rFonts w:ascii="Verdana" w:eastAsia="Times New Roman" w:hAnsi="Verdana" w:cs="Times New Roman"/>
                <w:b/>
                <w:bCs/>
                <w:color w:val="000000"/>
                <w:sz w:val="16"/>
                <w:szCs w:val="16"/>
                <w:lang w:eastAsia="en-GB"/>
              </w:rPr>
              <w:t xml:space="preserve"> </w:t>
            </w:r>
            <w:proofErr w:type="spellStart"/>
            <w:r w:rsidRPr="005C5745">
              <w:rPr>
                <w:rFonts w:ascii="Verdana" w:eastAsia="Times New Roman" w:hAnsi="Verdana" w:cs="Times New Roman"/>
                <w:b/>
                <w:bCs/>
                <w:color w:val="000000"/>
                <w:sz w:val="16"/>
                <w:szCs w:val="16"/>
                <w:lang w:eastAsia="en-GB"/>
              </w:rPr>
              <w:t>Σεν</w:t>
            </w:r>
            <w:proofErr w:type="spellEnd"/>
            <w:r w:rsidRPr="005C5745">
              <w:rPr>
                <w:rFonts w:ascii="Verdana" w:eastAsia="Times New Roman" w:hAnsi="Verdana" w:cs="Times New Roman"/>
                <w:b/>
                <w:bCs/>
                <w:color w:val="000000"/>
                <w:sz w:val="16"/>
                <w:szCs w:val="16"/>
                <w:lang w:eastAsia="en-GB"/>
              </w:rPr>
              <w:t>αρίων</w:t>
            </w:r>
          </w:p>
          <w:tbl>
            <w:tblPr>
              <w:tblW w:w="0" w:type="auto"/>
              <w:jc w:val="center"/>
              <w:tblCellMar>
                <w:top w:w="60" w:type="dxa"/>
                <w:left w:w="60" w:type="dxa"/>
                <w:bottom w:w="60" w:type="dxa"/>
                <w:right w:w="60" w:type="dxa"/>
              </w:tblCellMar>
              <w:tblLook w:val="04A0" w:firstRow="1" w:lastRow="0" w:firstColumn="1" w:lastColumn="0" w:noHBand="0" w:noVBand="1"/>
            </w:tblPr>
            <w:tblGrid>
              <w:gridCol w:w="3810"/>
              <w:gridCol w:w="1350"/>
              <w:gridCol w:w="1260"/>
            </w:tblGrid>
            <w:tr w:rsidR="005C5745" w:rsidRPr="005C5745" w14:paraId="45E06B50" w14:textId="77777777" w:rsidTr="005C5745">
              <w:trPr>
                <w:trHeight w:val="390"/>
                <w:jc w:val="center"/>
              </w:trPr>
              <w:tc>
                <w:tcPr>
                  <w:tcW w:w="3810"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2950505A"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b/>
                      <w:bCs/>
                      <w:color w:val="000000"/>
                      <w:sz w:val="16"/>
                      <w:szCs w:val="16"/>
                      <w:lang w:eastAsia="en-GB"/>
                    </w:rPr>
                    <w:t>Σενάριο</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09276125"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00"/>
                      <w:sz w:val="16"/>
                      <w:szCs w:val="16"/>
                      <w:lang w:eastAsia="en-GB"/>
                    </w:rPr>
                    <w:t>Καθα</w:t>
                  </w:r>
                  <w:proofErr w:type="spellStart"/>
                  <w:r w:rsidRPr="005C5745">
                    <w:rPr>
                      <w:rFonts w:ascii="Verdana" w:eastAsia="Times New Roman" w:hAnsi="Verdana" w:cs="Times New Roman"/>
                      <w:b/>
                      <w:bCs/>
                      <w:color w:val="000000"/>
                      <w:sz w:val="16"/>
                      <w:szCs w:val="16"/>
                      <w:lang w:eastAsia="en-GB"/>
                    </w:rPr>
                    <w:t>ρή</w:t>
                  </w:r>
                  <w:proofErr w:type="spellEnd"/>
                  <w:r w:rsidRPr="005C5745">
                    <w:rPr>
                      <w:rFonts w:ascii="Verdana" w:eastAsia="Times New Roman" w:hAnsi="Verdana" w:cs="Times New Roman"/>
                      <w:b/>
                      <w:bCs/>
                      <w:color w:val="000000"/>
                      <w:sz w:val="16"/>
                      <w:szCs w:val="16"/>
                      <w:lang w:eastAsia="en-GB"/>
                    </w:rPr>
                    <w:t xml:space="preserve"> Πα</w:t>
                  </w:r>
                  <w:proofErr w:type="spellStart"/>
                  <w:r w:rsidRPr="005C5745">
                    <w:rPr>
                      <w:rFonts w:ascii="Verdana" w:eastAsia="Times New Roman" w:hAnsi="Verdana" w:cs="Times New Roman"/>
                      <w:b/>
                      <w:bCs/>
                      <w:color w:val="000000"/>
                      <w:sz w:val="16"/>
                      <w:szCs w:val="16"/>
                      <w:lang w:eastAsia="en-GB"/>
                    </w:rPr>
                    <w:t>ρούσ</w:t>
                  </w:r>
                  <w:proofErr w:type="spellEnd"/>
                  <w:r w:rsidRPr="005C5745">
                    <w:rPr>
                      <w:rFonts w:ascii="Verdana" w:eastAsia="Times New Roman" w:hAnsi="Verdana" w:cs="Times New Roman"/>
                      <w:b/>
                      <w:bCs/>
                      <w:color w:val="000000"/>
                      <w:sz w:val="16"/>
                      <w:szCs w:val="16"/>
                      <w:lang w:eastAsia="en-GB"/>
                    </w:rPr>
                    <w:t xml:space="preserve">α </w:t>
                  </w:r>
                  <w:proofErr w:type="spellStart"/>
                  <w:r w:rsidRPr="005C5745">
                    <w:rPr>
                      <w:rFonts w:ascii="Verdana" w:eastAsia="Times New Roman" w:hAnsi="Verdana" w:cs="Times New Roman"/>
                      <w:b/>
                      <w:bCs/>
                      <w:color w:val="000000"/>
                      <w:sz w:val="16"/>
                      <w:szCs w:val="16"/>
                      <w:lang w:eastAsia="en-GB"/>
                    </w:rPr>
                    <w:t>Αξί</w:t>
                  </w:r>
                  <w:proofErr w:type="spellEnd"/>
                  <w:r w:rsidRPr="005C5745">
                    <w:rPr>
                      <w:rFonts w:ascii="Verdana" w:eastAsia="Times New Roman" w:hAnsi="Verdana" w:cs="Times New Roman"/>
                      <w:b/>
                      <w:bCs/>
                      <w:color w:val="000000"/>
                      <w:sz w:val="16"/>
                      <w:szCs w:val="16"/>
                      <w:lang w:eastAsia="en-GB"/>
                    </w:rPr>
                    <w:t xml:space="preserve">α </w:t>
                  </w:r>
                  <w:r w:rsidRPr="005C5745">
                    <w:rPr>
                      <w:rFonts w:ascii="Verdana" w:eastAsia="Times New Roman" w:hAnsi="Verdana" w:cs="Times New Roman"/>
                      <w:color w:val="000000"/>
                      <w:sz w:val="18"/>
                      <w:szCs w:val="18"/>
                      <w:lang w:eastAsia="en-GB"/>
                    </w:rPr>
                    <w:br/>
                  </w:r>
                  <w:r w:rsidRPr="005C5745">
                    <w:rPr>
                      <w:rFonts w:ascii="Verdana" w:eastAsia="Times New Roman" w:hAnsi="Verdana" w:cs="Times New Roman"/>
                      <w:b/>
                      <w:bCs/>
                      <w:color w:val="000000"/>
                      <w:sz w:val="16"/>
                      <w:szCs w:val="16"/>
                      <w:lang w:eastAsia="en-GB"/>
                    </w:rPr>
                    <w:t>(</w:t>
                  </w:r>
                  <w:proofErr w:type="spellStart"/>
                  <w:r w:rsidRPr="005C5745">
                    <w:rPr>
                      <w:rFonts w:ascii="Verdana" w:eastAsia="Times New Roman" w:hAnsi="Verdana" w:cs="Times New Roman"/>
                      <w:b/>
                      <w:bCs/>
                      <w:color w:val="000000"/>
                      <w:sz w:val="16"/>
                      <w:szCs w:val="16"/>
                      <w:lang w:eastAsia="en-GB"/>
                    </w:rPr>
                    <w:t>NPV</w:t>
                  </w:r>
                  <w:proofErr w:type="spellEnd"/>
                  <w:r w:rsidRPr="005C5745">
                    <w:rPr>
                      <w:rFonts w:ascii="Verdana" w:eastAsia="Times New Roman" w:hAnsi="Verdana" w:cs="Times New Roman"/>
                      <w:b/>
                      <w:bCs/>
                      <w:color w:val="000000"/>
                      <w:sz w:val="16"/>
                      <w:szCs w:val="16"/>
                      <w:lang w:eastAsia="en-GB"/>
                    </w:rPr>
                    <w:t>)</w:t>
                  </w:r>
                </w:p>
              </w:tc>
              <w:tc>
                <w:tcPr>
                  <w:tcW w:w="1260"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6C670C1"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proofErr w:type="spellStart"/>
                  <w:r w:rsidRPr="005C5745">
                    <w:rPr>
                      <w:rFonts w:ascii="Verdana" w:eastAsia="Times New Roman" w:hAnsi="Verdana" w:cs="Times New Roman"/>
                      <w:b/>
                      <w:bCs/>
                      <w:color w:val="000000"/>
                      <w:sz w:val="16"/>
                      <w:szCs w:val="16"/>
                      <w:lang w:eastAsia="en-GB"/>
                    </w:rPr>
                    <w:t>Εσωτερικός</w:t>
                  </w:r>
                  <w:proofErr w:type="spellEnd"/>
                  <w:r w:rsidRPr="005C5745">
                    <w:rPr>
                      <w:rFonts w:ascii="Verdana" w:eastAsia="Times New Roman" w:hAnsi="Verdana" w:cs="Times New Roman"/>
                      <w:b/>
                      <w:bCs/>
                      <w:color w:val="000000"/>
                      <w:sz w:val="16"/>
                      <w:szCs w:val="16"/>
                      <w:lang w:eastAsia="en-GB"/>
                    </w:rPr>
                    <w:t xml:space="preserve"> Βα</w:t>
                  </w:r>
                  <w:proofErr w:type="spellStart"/>
                  <w:r w:rsidRPr="005C5745">
                    <w:rPr>
                      <w:rFonts w:ascii="Verdana" w:eastAsia="Times New Roman" w:hAnsi="Verdana" w:cs="Times New Roman"/>
                      <w:b/>
                      <w:bCs/>
                      <w:color w:val="000000"/>
                      <w:sz w:val="16"/>
                      <w:szCs w:val="16"/>
                      <w:lang w:eastAsia="en-GB"/>
                    </w:rPr>
                    <w:t>θμός</w:t>
                  </w:r>
                  <w:proofErr w:type="spellEnd"/>
                  <w:r w:rsidRPr="005C5745">
                    <w:rPr>
                      <w:rFonts w:ascii="Verdana" w:eastAsia="Times New Roman" w:hAnsi="Verdana" w:cs="Times New Roman"/>
                      <w:b/>
                      <w:bCs/>
                      <w:color w:val="000000"/>
                      <w:sz w:val="16"/>
                      <w:szCs w:val="16"/>
                      <w:lang w:eastAsia="en-GB"/>
                    </w:rPr>
                    <w:t xml:space="preserve"> Απ</w:t>
                  </w:r>
                  <w:proofErr w:type="spellStart"/>
                  <w:r w:rsidRPr="005C5745">
                    <w:rPr>
                      <w:rFonts w:ascii="Verdana" w:eastAsia="Times New Roman" w:hAnsi="Verdana" w:cs="Times New Roman"/>
                      <w:b/>
                      <w:bCs/>
                      <w:color w:val="000000"/>
                      <w:sz w:val="16"/>
                      <w:szCs w:val="16"/>
                      <w:lang w:eastAsia="en-GB"/>
                    </w:rPr>
                    <w:t>όδοσης</w:t>
                  </w:r>
                  <w:proofErr w:type="spellEnd"/>
                  <w:r w:rsidRPr="005C5745">
                    <w:rPr>
                      <w:rFonts w:ascii="Verdana" w:eastAsia="Times New Roman" w:hAnsi="Verdana" w:cs="Times New Roman"/>
                      <w:b/>
                      <w:bCs/>
                      <w:color w:val="000000"/>
                      <w:sz w:val="16"/>
                      <w:szCs w:val="16"/>
                      <w:lang w:eastAsia="en-GB"/>
                    </w:rPr>
                    <w:t xml:space="preserve"> (IRR)</w:t>
                  </w:r>
                </w:p>
              </w:tc>
            </w:tr>
            <w:tr w:rsidR="005C5745" w:rsidRPr="005C5745" w14:paraId="042390FB" w14:textId="77777777" w:rsidTr="005C5745">
              <w:trPr>
                <w:trHeight w:val="375"/>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D81B5AD"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val="el-GR" w:eastAsia="en-GB"/>
                    </w:rPr>
                  </w:pPr>
                  <w:r w:rsidRPr="005C5745">
                    <w:rPr>
                      <w:rFonts w:ascii="Verdana" w:eastAsia="Times New Roman" w:hAnsi="Verdana" w:cs="Times New Roman"/>
                      <w:b/>
                      <w:bCs/>
                      <w:i/>
                      <w:iCs/>
                      <w:color w:val="000000"/>
                      <w:sz w:val="16"/>
                      <w:szCs w:val="16"/>
                      <w:lang w:val="el-GR" w:eastAsia="en-GB"/>
                    </w:rPr>
                    <w:t>Επιλογή 1 (να μην επενδυθεί €1 εκ.)</w:t>
                  </w:r>
                </w:p>
              </w:tc>
            </w:tr>
            <w:tr w:rsidR="005C5745" w:rsidRPr="005C5745" w14:paraId="50D63724" w14:textId="77777777" w:rsidTr="005C5745">
              <w:trPr>
                <w:trHeight w:val="345"/>
                <w:jc w:val="center"/>
              </w:trPr>
              <w:tc>
                <w:tcPr>
                  <w:tcW w:w="3810" w:type="dxa"/>
                  <w:tcBorders>
                    <w:top w:val="single" w:sz="6" w:space="0" w:color="000000"/>
                    <w:left w:val="single" w:sz="6" w:space="0" w:color="000000"/>
                    <w:bottom w:val="single" w:sz="6" w:space="0" w:color="000000"/>
                    <w:right w:val="single" w:sz="6" w:space="0" w:color="000000"/>
                  </w:tcBorders>
                  <w:vAlign w:val="center"/>
                  <w:hideMark/>
                </w:tcPr>
                <w:p w14:paraId="637DAC92" w14:textId="77777777" w:rsidR="005C5745" w:rsidRPr="005C5745" w:rsidRDefault="005C5745" w:rsidP="005C5745">
                  <w:pPr>
                    <w:spacing w:before="45" w:after="45"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6"/>
                      <w:szCs w:val="16"/>
                      <w:lang w:val="el-GR" w:eastAsia="en-GB"/>
                    </w:rPr>
                    <w:t>Χωρίς μεταβολή στις κρίσιμες μεταβλητές</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67525080"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FF"/>
                      <w:sz w:val="16"/>
                      <w:szCs w:val="16"/>
                      <w:lang w:eastAsia="en-GB"/>
                    </w:rPr>
                    <w:t>€52.212,26</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5BE73B2E"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FF"/>
                      <w:sz w:val="16"/>
                      <w:szCs w:val="16"/>
                      <w:lang w:eastAsia="en-GB"/>
                    </w:rPr>
                    <w:t>17%</w:t>
                  </w:r>
                </w:p>
              </w:tc>
            </w:tr>
            <w:tr w:rsidR="005C5745" w:rsidRPr="005C5745" w14:paraId="4C0EE90B" w14:textId="77777777" w:rsidTr="005C5745">
              <w:trPr>
                <w:trHeight w:val="345"/>
                <w:jc w:val="center"/>
              </w:trPr>
              <w:tc>
                <w:tcPr>
                  <w:tcW w:w="3810" w:type="dxa"/>
                  <w:tcBorders>
                    <w:top w:val="single" w:sz="6" w:space="0" w:color="000000"/>
                    <w:left w:val="single" w:sz="6" w:space="0" w:color="000000"/>
                    <w:bottom w:val="single" w:sz="6" w:space="0" w:color="000000"/>
                    <w:right w:val="single" w:sz="6" w:space="0" w:color="000000"/>
                  </w:tcBorders>
                  <w:vAlign w:val="center"/>
                  <w:hideMark/>
                </w:tcPr>
                <w:p w14:paraId="450E3B57" w14:textId="77777777" w:rsidR="005C5745" w:rsidRPr="005C5745" w:rsidRDefault="005C5745" w:rsidP="005C5745">
                  <w:pPr>
                    <w:spacing w:before="45" w:after="45" w:line="240" w:lineRule="auto"/>
                    <w:rPr>
                      <w:rFonts w:ascii="Verdana" w:eastAsia="Times New Roman" w:hAnsi="Verdana" w:cs="Times New Roman"/>
                      <w:color w:val="000000"/>
                      <w:sz w:val="18"/>
                      <w:szCs w:val="18"/>
                      <w:lang w:eastAsia="en-GB"/>
                    </w:rPr>
                  </w:pPr>
                  <w:r w:rsidRPr="005C5745">
                    <w:rPr>
                      <w:rFonts w:ascii="Verdana" w:eastAsia="Times New Roman" w:hAnsi="Verdana" w:cs="Times New Roman"/>
                      <w:color w:val="000000"/>
                      <w:sz w:val="16"/>
                      <w:szCs w:val="16"/>
                      <w:lang w:eastAsia="en-GB"/>
                    </w:rPr>
                    <w:t>2% α</w:t>
                  </w:r>
                  <w:proofErr w:type="spellStart"/>
                  <w:r w:rsidRPr="005C5745">
                    <w:rPr>
                      <w:rFonts w:ascii="Verdana" w:eastAsia="Times New Roman" w:hAnsi="Verdana" w:cs="Times New Roman"/>
                      <w:color w:val="000000"/>
                      <w:sz w:val="16"/>
                      <w:szCs w:val="16"/>
                      <w:lang w:eastAsia="en-GB"/>
                    </w:rPr>
                    <w:t>ύξηση</w:t>
                  </w:r>
                  <w:proofErr w:type="spellEnd"/>
                  <w:r w:rsidRPr="005C5745">
                    <w:rPr>
                      <w:rFonts w:ascii="Verdana" w:eastAsia="Times New Roman" w:hAnsi="Verdana" w:cs="Times New Roman"/>
                      <w:color w:val="000000"/>
                      <w:sz w:val="16"/>
                      <w:szCs w:val="16"/>
                      <w:lang w:eastAsia="en-GB"/>
                    </w:rPr>
                    <w:t xml:space="preserve"> </w:t>
                  </w:r>
                  <w:proofErr w:type="spellStart"/>
                  <w:r w:rsidRPr="005C5745">
                    <w:rPr>
                      <w:rFonts w:ascii="Verdana" w:eastAsia="Times New Roman" w:hAnsi="Verdana" w:cs="Times New Roman"/>
                      <w:color w:val="000000"/>
                      <w:sz w:val="16"/>
                      <w:szCs w:val="16"/>
                      <w:lang w:eastAsia="en-GB"/>
                    </w:rPr>
                    <w:t>λειτουργικού</w:t>
                  </w:r>
                  <w:proofErr w:type="spellEnd"/>
                  <w:r w:rsidRPr="005C5745">
                    <w:rPr>
                      <w:rFonts w:ascii="Verdana" w:eastAsia="Times New Roman" w:hAnsi="Verdana" w:cs="Times New Roman"/>
                      <w:color w:val="000000"/>
                      <w:sz w:val="16"/>
                      <w:szCs w:val="16"/>
                      <w:lang w:eastAsia="en-GB"/>
                    </w:rPr>
                    <w:t xml:space="preserve"> </w:t>
                  </w:r>
                  <w:proofErr w:type="spellStart"/>
                  <w:r w:rsidRPr="005C5745">
                    <w:rPr>
                      <w:rFonts w:ascii="Verdana" w:eastAsia="Times New Roman" w:hAnsi="Verdana" w:cs="Times New Roman"/>
                      <w:color w:val="000000"/>
                      <w:sz w:val="16"/>
                      <w:szCs w:val="16"/>
                      <w:lang w:eastAsia="en-GB"/>
                    </w:rPr>
                    <w:t>κόστους</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4E075B96"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00"/>
                      <w:sz w:val="16"/>
                      <w:szCs w:val="16"/>
                      <w:lang w:eastAsia="en-GB"/>
                    </w:rPr>
                    <w:t>€28.837,45</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0B516150"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00"/>
                      <w:sz w:val="16"/>
                      <w:szCs w:val="16"/>
                      <w:lang w:eastAsia="en-GB"/>
                    </w:rPr>
                    <w:t>12%</w:t>
                  </w:r>
                </w:p>
              </w:tc>
            </w:tr>
            <w:tr w:rsidR="005C5745" w:rsidRPr="005C5745" w14:paraId="12A72819" w14:textId="77777777" w:rsidTr="005C5745">
              <w:trPr>
                <w:trHeight w:val="345"/>
                <w:jc w:val="center"/>
              </w:trPr>
              <w:tc>
                <w:tcPr>
                  <w:tcW w:w="3810" w:type="dxa"/>
                  <w:tcBorders>
                    <w:top w:val="single" w:sz="6" w:space="0" w:color="000000"/>
                    <w:left w:val="single" w:sz="6" w:space="0" w:color="000000"/>
                    <w:bottom w:val="single" w:sz="6" w:space="0" w:color="000000"/>
                    <w:right w:val="single" w:sz="6" w:space="0" w:color="000000"/>
                  </w:tcBorders>
                  <w:vAlign w:val="center"/>
                  <w:hideMark/>
                </w:tcPr>
                <w:p w14:paraId="730F2090" w14:textId="77777777" w:rsidR="005C5745" w:rsidRPr="005C5745" w:rsidRDefault="005C5745" w:rsidP="005C5745">
                  <w:pPr>
                    <w:spacing w:before="45" w:after="45" w:line="240" w:lineRule="auto"/>
                    <w:rPr>
                      <w:rFonts w:ascii="Verdana" w:eastAsia="Times New Roman" w:hAnsi="Verdana" w:cs="Times New Roman"/>
                      <w:color w:val="000000"/>
                      <w:sz w:val="18"/>
                      <w:szCs w:val="18"/>
                      <w:lang w:eastAsia="en-GB"/>
                    </w:rPr>
                  </w:pPr>
                  <w:r w:rsidRPr="005C5745">
                    <w:rPr>
                      <w:rFonts w:ascii="Verdana" w:eastAsia="Times New Roman" w:hAnsi="Verdana" w:cs="Times New Roman"/>
                      <w:color w:val="000000"/>
                      <w:sz w:val="16"/>
                      <w:szCs w:val="16"/>
                      <w:lang w:eastAsia="en-GB"/>
                    </w:rPr>
                    <w:t>5% α</w:t>
                  </w:r>
                  <w:proofErr w:type="spellStart"/>
                  <w:r w:rsidRPr="005C5745">
                    <w:rPr>
                      <w:rFonts w:ascii="Verdana" w:eastAsia="Times New Roman" w:hAnsi="Verdana" w:cs="Times New Roman"/>
                      <w:color w:val="000000"/>
                      <w:sz w:val="16"/>
                      <w:szCs w:val="16"/>
                      <w:lang w:eastAsia="en-GB"/>
                    </w:rPr>
                    <w:t>ύξηση</w:t>
                  </w:r>
                  <w:proofErr w:type="spellEnd"/>
                  <w:r w:rsidRPr="005C5745">
                    <w:rPr>
                      <w:rFonts w:ascii="Verdana" w:eastAsia="Times New Roman" w:hAnsi="Verdana" w:cs="Times New Roman"/>
                      <w:color w:val="000000"/>
                      <w:sz w:val="16"/>
                      <w:szCs w:val="16"/>
                      <w:lang w:eastAsia="en-GB"/>
                    </w:rPr>
                    <w:t xml:space="preserve"> </w:t>
                  </w:r>
                  <w:proofErr w:type="spellStart"/>
                  <w:r w:rsidRPr="005C5745">
                    <w:rPr>
                      <w:rFonts w:ascii="Verdana" w:eastAsia="Times New Roman" w:hAnsi="Verdana" w:cs="Times New Roman"/>
                      <w:color w:val="000000"/>
                      <w:sz w:val="16"/>
                      <w:szCs w:val="16"/>
                      <w:lang w:eastAsia="en-GB"/>
                    </w:rPr>
                    <w:t>λειτουργικού</w:t>
                  </w:r>
                  <w:proofErr w:type="spellEnd"/>
                  <w:r w:rsidRPr="005C5745">
                    <w:rPr>
                      <w:rFonts w:ascii="Verdana" w:eastAsia="Times New Roman" w:hAnsi="Verdana" w:cs="Times New Roman"/>
                      <w:color w:val="000000"/>
                      <w:sz w:val="16"/>
                      <w:szCs w:val="16"/>
                      <w:lang w:eastAsia="en-GB"/>
                    </w:rPr>
                    <w:t xml:space="preserve"> </w:t>
                  </w:r>
                  <w:proofErr w:type="spellStart"/>
                  <w:r w:rsidRPr="005C5745">
                    <w:rPr>
                      <w:rFonts w:ascii="Verdana" w:eastAsia="Times New Roman" w:hAnsi="Verdana" w:cs="Times New Roman"/>
                      <w:color w:val="000000"/>
                      <w:sz w:val="16"/>
                      <w:szCs w:val="16"/>
                      <w:lang w:eastAsia="en-GB"/>
                    </w:rPr>
                    <w:t>κόστους</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26611ECA"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FF0000"/>
                      <w:sz w:val="16"/>
                      <w:szCs w:val="16"/>
                      <w:lang w:eastAsia="en-GB"/>
                    </w:rPr>
                    <w:t>-€6.224,75</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76E6E334"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FF0000"/>
                      <w:sz w:val="16"/>
                      <w:szCs w:val="16"/>
                      <w:lang w:eastAsia="en-GB"/>
                    </w:rPr>
                    <w:t>5%</w:t>
                  </w:r>
                </w:p>
              </w:tc>
            </w:tr>
            <w:tr w:rsidR="005C5745" w:rsidRPr="005C5745" w14:paraId="3974FF40" w14:textId="77777777" w:rsidTr="005C5745">
              <w:trPr>
                <w:trHeight w:val="345"/>
                <w:jc w:val="center"/>
              </w:trPr>
              <w:tc>
                <w:tcPr>
                  <w:tcW w:w="3810" w:type="dxa"/>
                  <w:tcBorders>
                    <w:top w:val="single" w:sz="6" w:space="0" w:color="000000"/>
                    <w:left w:val="single" w:sz="6" w:space="0" w:color="000000"/>
                    <w:bottom w:val="single" w:sz="6" w:space="0" w:color="000000"/>
                    <w:right w:val="single" w:sz="6" w:space="0" w:color="000000"/>
                  </w:tcBorders>
                  <w:vAlign w:val="center"/>
                  <w:hideMark/>
                </w:tcPr>
                <w:p w14:paraId="31B9F145" w14:textId="77777777" w:rsidR="005C5745" w:rsidRPr="005C5745" w:rsidRDefault="005C5745" w:rsidP="005C5745">
                  <w:pPr>
                    <w:spacing w:before="45" w:after="45" w:line="240" w:lineRule="auto"/>
                    <w:rPr>
                      <w:rFonts w:ascii="Verdana" w:eastAsia="Times New Roman" w:hAnsi="Verdana" w:cs="Times New Roman"/>
                      <w:color w:val="000000"/>
                      <w:sz w:val="18"/>
                      <w:szCs w:val="18"/>
                      <w:lang w:eastAsia="en-GB"/>
                    </w:rPr>
                  </w:pPr>
                  <w:r w:rsidRPr="005C5745">
                    <w:rPr>
                      <w:rFonts w:ascii="Verdana" w:eastAsia="Times New Roman" w:hAnsi="Verdana" w:cs="Times New Roman"/>
                      <w:color w:val="000000"/>
                      <w:sz w:val="16"/>
                      <w:szCs w:val="16"/>
                      <w:lang w:eastAsia="en-GB"/>
                    </w:rPr>
                    <w:t>2% α</w:t>
                  </w:r>
                  <w:proofErr w:type="spellStart"/>
                  <w:r w:rsidRPr="005C5745">
                    <w:rPr>
                      <w:rFonts w:ascii="Verdana" w:eastAsia="Times New Roman" w:hAnsi="Verdana" w:cs="Times New Roman"/>
                      <w:color w:val="000000"/>
                      <w:sz w:val="16"/>
                      <w:szCs w:val="16"/>
                      <w:lang w:eastAsia="en-GB"/>
                    </w:rPr>
                    <w:t>ύξηση</w:t>
                  </w:r>
                  <w:proofErr w:type="spellEnd"/>
                  <w:r w:rsidRPr="005C5745">
                    <w:rPr>
                      <w:rFonts w:ascii="Verdana" w:eastAsia="Times New Roman" w:hAnsi="Verdana" w:cs="Times New Roman"/>
                      <w:color w:val="000000"/>
                      <w:sz w:val="16"/>
                      <w:szCs w:val="16"/>
                      <w:lang w:eastAsia="en-GB"/>
                    </w:rPr>
                    <w:t xml:space="preserve"> </w:t>
                  </w:r>
                  <w:proofErr w:type="spellStart"/>
                  <w:r w:rsidRPr="005C5745">
                    <w:rPr>
                      <w:rFonts w:ascii="Verdana" w:eastAsia="Times New Roman" w:hAnsi="Verdana" w:cs="Times New Roman"/>
                      <w:color w:val="000000"/>
                      <w:sz w:val="16"/>
                      <w:szCs w:val="16"/>
                      <w:lang w:eastAsia="en-GB"/>
                    </w:rPr>
                    <w:t>εσόδων</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4569A1A8"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00"/>
                      <w:sz w:val="16"/>
                      <w:szCs w:val="16"/>
                      <w:lang w:eastAsia="en-GB"/>
                    </w:rPr>
                    <w:t>€79.675,14</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006B8FB7"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00"/>
                      <w:sz w:val="16"/>
                      <w:szCs w:val="16"/>
                      <w:lang w:eastAsia="en-GB"/>
                    </w:rPr>
                    <w:t>22%</w:t>
                  </w:r>
                </w:p>
              </w:tc>
            </w:tr>
            <w:tr w:rsidR="005C5745" w:rsidRPr="005C5745" w14:paraId="0D8162F2" w14:textId="77777777" w:rsidTr="005C5745">
              <w:trPr>
                <w:trHeight w:val="345"/>
                <w:jc w:val="center"/>
              </w:trPr>
              <w:tc>
                <w:tcPr>
                  <w:tcW w:w="3810" w:type="dxa"/>
                  <w:tcBorders>
                    <w:top w:val="single" w:sz="6" w:space="0" w:color="000000"/>
                    <w:left w:val="single" w:sz="6" w:space="0" w:color="000000"/>
                    <w:bottom w:val="single" w:sz="6" w:space="0" w:color="000000"/>
                    <w:right w:val="single" w:sz="6" w:space="0" w:color="000000"/>
                  </w:tcBorders>
                  <w:vAlign w:val="center"/>
                  <w:hideMark/>
                </w:tcPr>
                <w:p w14:paraId="587114B0" w14:textId="77777777" w:rsidR="005C5745" w:rsidRPr="005C5745" w:rsidRDefault="005C5745" w:rsidP="005C5745">
                  <w:pPr>
                    <w:spacing w:before="45" w:after="45" w:line="240" w:lineRule="auto"/>
                    <w:rPr>
                      <w:rFonts w:ascii="Verdana" w:eastAsia="Times New Roman" w:hAnsi="Verdana" w:cs="Times New Roman"/>
                      <w:color w:val="000000"/>
                      <w:sz w:val="18"/>
                      <w:szCs w:val="18"/>
                      <w:lang w:eastAsia="en-GB"/>
                    </w:rPr>
                  </w:pPr>
                  <w:r w:rsidRPr="005C5745">
                    <w:rPr>
                      <w:rFonts w:ascii="Verdana" w:eastAsia="Times New Roman" w:hAnsi="Verdana" w:cs="Times New Roman"/>
                      <w:color w:val="000000"/>
                      <w:sz w:val="16"/>
                      <w:szCs w:val="16"/>
                      <w:lang w:eastAsia="en-GB"/>
                    </w:rPr>
                    <w:t xml:space="preserve">5% </w:t>
                  </w:r>
                  <w:proofErr w:type="spellStart"/>
                  <w:r w:rsidRPr="005C5745">
                    <w:rPr>
                      <w:rFonts w:ascii="Verdana" w:eastAsia="Times New Roman" w:hAnsi="Verdana" w:cs="Times New Roman"/>
                      <w:color w:val="000000"/>
                      <w:sz w:val="16"/>
                      <w:szCs w:val="16"/>
                      <w:lang w:eastAsia="en-GB"/>
                    </w:rPr>
                    <w:t>μείωση</w:t>
                  </w:r>
                  <w:proofErr w:type="spellEnd"/>
                  <w:r w:rsidRPr="005C5745">
                    <w:rPr>
                      <w:rFonts w:ascii="Verdana" w:eastAsia="Times New Roman" w:hAnsi="Verdana" w:cs="Times New Roman"/>
                      <w:color w:val="000000"/>
                      <w:sz w:val="16"/>
                      <w:szCs w:val="16"/>
                      <w:lang w:eastAsia="en-GB"/>
                    </w:rPr>
                    <w:t xml:space="preserve"> </w:t>
                  </w:r>
                  <w:proofErr w:type="spellStart"/>
                  <w:r w:rsidRPr="005C5745">
                    <w:rPr>
                      <w:rFonts w:ascii="Verdana" w:eastAsia="Times New Roman" w:hAnsi="Verdana" w:cs="Times New Roman"/>
                      <w:color w:val="000000"/>
                      <w:sz w:val="16"/>
                      <w:szCs w:val="16"/>
                      <w:lang w:eastAsia="en-GB"/>
                    </w:rPr>
                    <w:t>εσόδων</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05339276"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FF0000"/>
                      <w:sz w:val="16"/>
                      <w:szCs w:val="16"/>
                      <w:lang w:eastAsia="en-GB"/>
                    </w:rPr>
                    <w:t>-€16.444,96</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26866946"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FF0000"/>
                      <w:sz w:val="16"/>
                      <w:szCs w:val="16"/>
                      <w:lang w:eastAsia="en-GB"/>
                    </w:rPr>
                    <w:t>3%</w:t>
                  </w:r>
                </w:p>
              </w:tc>
            </w:tr>
            <w:tr w:rsidR="005C5745" w:rsidRPr="005C5745" w14:paraId="00C14102" w14:textId="77777777" w:rsidTr="005C5745">
              <w:trPr>
                <w:trHeight w:val="375"/>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7BDA074"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eastAsia="en-GB"/>
                    </w:rPr>
                  </w:pPr>
                  <w:r w:rsidRPr="005C5745">
                    <w:rPr>
                      <w:rFonts w:ascii="Verdana" w:eastAsia="Times New Roman" w:hAnsi="Verdana" w:cs="Times New Roman"/>
                      <w:b/>
                      <w:bCs/>
                      <w:i/>
                      <w:iCs/>
                      <w:color w:val="000000"/>
                      <w:sz w:val="16"/>
                      <w:szCs w:val="16"/>
                      <w:lang w:eastAsia="en-GB"/>
                    </w:rPr>
                    <w:t>Επ</w:t>
                  </w:r>
                  <w:proofErr w:type="spellStart"/>
                  <w:r w:rsidRPr="005C5745">
                    <w:rPr>
                      <w:rFonts w:ascii="Verdana" w:eastAsia="Times New Roman" w:hAnsi="Verdana" w:cs="Times New Roman"/>
                      <w:b/>
                      <w:bCs/>
                      <w:i/>
                      <w:iCs/>
                      <w:color w:val="000000"/>
                      <w:sz w:val="16"/>
                      <w:szCs w:val="16"/>
                      <w:lang w:eastAsia="en-GB"/>
                    </w:rPr>
                    <w:t>ιλογή</w:t>
                  </w:r>
                  <w:proofErr w:type="spellEnd"/>
                  <w:r w:rsidRPr="005C5745">
                    <w:rPr>
                      <w:rFonts w:ascii="Verdana" w:eastAsia="Times New Roman" w:hAnsi="Verdana" w:cs="Times New Roman"/>
                      <w:b/>
                      <w:bCs/>
                      <w:i/>
                      <w:iCs/>
                      <w:color w:val="000000"/>
                      <w:sz w:val="16"/>
                      <w:szCs w:val="16"/>
                      <w:lang w:eastAsia="en-GB"/>
                    </w:rPr>
                    <w:t xml:space="preserve"> 2 (να επ</w:t>
                  </w:r>
                  <w:proofErr w:type="spellStart"/>
                  <w:r w:rsidRPr="005C5745">
                    <w:rPr>
                      <w:rFonts w:ascii="Verdana" w:eastAsia="Times New Roman" w:hAnsi="Verdana" w:cs="Times New Roman"/>
                      <w:b/>
                      <w:bCs/>
                      <w:i/>
                      <w:iCs/>
                      <w:color w:val="000000"/>
                      <w:sz w:val="16"/>
                      <w:szCs w:val="16"/>
                      <w:lang w:eastAsia="en-GB"/>
                    </w:rPr>
                    <w:t>ενδυθεί</w:t>
                  </w:r>
                  <w:proofErr w:type="spellEnd"/>
                  <w:r w:rsidRPr="005C5745">
                    <w:rPr>
                      <w:rFonts w:ascii="Verdana" w:eastAsia="Times New Roman" w:hAnsi="Verdana" w:cs="Times New Roman"/>
                      <w:b/>
                      <w:bCs/>
                      <w:i/>
                      <w:iCs/>
                      <w:color w:val="000000"/>
                      <w:sz w:val="16"/>
                      <w:szCs w:val="16"/>
                      <w:lang w:eastAsia="en-GB"/>
                    </w:rPr>
                    <w:t xml:space="preserve"> €1 </w:t>
                  </w:r>
                  <w:proofErr w:type="spellStart"/>
                  <w:r w:rsidRPr="005C5745">
                    <w:rPr>
                      <w:rFonts w:ascii="Verdana" w:eastAsia="Times New Roman" w:hAnsi="Verdana" w:cs="Times New Roman"/>
                      <w:b/>
                      <w:bCs/>
                      <w:i/>
                      <w:iCs/>
                      <w:color w:val="000000"/>
                      <w:sz w:val="16"/>
                      <w:szCs w:val="16"/>
                      <w:lang w:eastAsia="en-GB"/>
                    </w:rPr>
                    <w:t>εκ</w:t>
                  </w:r>
                  <w:proofErr w:type="spellEnd"/>
                  <w:r w:rsidRPr="005C5745">
                    <w:rPr>
                      <w:rFonts w:ascii="Verdana" w:eastAsia="Times New Roman" w:hAnsi="Verdana" w:cs="Times New Roman"/>
                      <w:b/>
                      <w:bCs/>
                      <w:i/>
                      <w:iCs/>
                      <w:color w:val="000000"/>
                      <w:sz w:val="16"/>
                      <w:szCs w:val="16"/>
                      <w:lang w:eastAsia="en-GB"/>
                    </w:rPr>
                    <w:t>.)</w:t>
                  </w:r>
                </w:p>
              </w:tc>
            </w:tr>
            <w:tr w:rsidR="005C5745" w:rsidRPr="005C5745" w14:paraId="3E9CC2ED" w14:textId="77777777" w:rsidTr="005C5745">
              <w:trPr>
                <w:trHeight w:val="345"/>
                <w:jc w:val="center"/>
              </w:trPr>
              <w:tc>
                <w:tcPr>
                  <w:tcW w:w="3810" w:type="dxa"/>
                  <w:tcBorders>
                    <w:top w:val="single" w:sz="6" w:space="0" w:color="000000"/>
                    <w:left w:val="single" w:sz="6" w:space="0" w:color="000000"/>
                    <w:bottom w:val="single" w:sz="6" w:space="0" w:color="000000"/>
                    <w:right w:val="single" w:sz="6" w:space="0" w:color="000000"/>
                  </w:tcBorders>
                  <w:vAlign w:val="center"/>
                  <w:hideMark/>
                </w:tcPr>
                <w:p w14:paraId="10E7AC6A" w14:textId="77777777" w:rsidR="005C5745" w:rsidRPr="005C5745" w:rsidRDefault="005C5745" w:rsidP="005C5745">
                  <w:pPr>
                    <w:spacing w:before="45" w:after="45" w:line="240" w:lineRule="auto"/>
                    <w:rPr>
                      <w:rFonts w:ascii="Verdana" w:eastAsia="Times New Roman" w:hAnsi="Verdana" w:cs="Times New Roman"/>
                      <w:color w:val="000000"/>
                      <w:sz w:val="18"/>
                      <w:szCs w:val="18"/>
                      <w:lang w:val="el-GR" w:eastAsia="en-GB"/>
                    </w:rPr>
                  </w:pPr>
                  <w:r w:rsidRPr="005C5745">
                    <w:rPr>
                      <w:rFonts w:ascii="Verdana" w:eastAsia="Times New Roman" w:hAnsi="Verdana" w:cs="Times New Roman"/>
                      <w:color w:val="000000"/>
                      <w:sz w:val="16"/>
                      <w:szCs w:val="16"/>
                      <w:lang w:val="el-GR" w:eastAsia="en-GB"/>
                    </w:rPr>
                    <w:t>Χωρίς μεταβολή στις κρίσιμες μεταβλητές</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22CE2B50"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FF"/>
                      <w:sz w:val="16"/>
                      <w:szCs w:val="16"/>
                      <w:lang w:eastAsia="en-GB"/>
                    </w:rPr>
                    <w:t>€247.447,81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5A606202"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FF"/>
                      <w:sz w:val="16"/>
                      <w:szCs w:val="16"/>
                      <w:lang w:eastAsia="en-GB"/>
                    </w:rPr>
                    <w:t>12%</w:t>
                  </w:r>
                </w:p>
              </w:tc>
            </w:tr>
            <w:tr w:rsidR="005C5745" w:rsidRPr="005C5745" w14:paraId="54D8844D" w14:textId="77777777" w:rsidTr="005C5745">
              <w:trPr>
                <w:trHeight w:val="345"/>
                <w:jc w:val="center"/>
              </w:trPr>
              <w:tc>
                <w:tcPr>
                  <w:tcW w:w="3810" w:type="dxa"/>
                  <w:tcBorders>
                    <w:top w:val="single" w:sz="6" w:space="0" w:color="000000"/>
                    <w:left w:val="single" w:sz="6" w:space="0" w:color="000000"/>
                    <w:bottom w:val="single" w:sz="6" w:space="0" w:color="000000"/>
                    <w:right w:val="single" w:sz="6" w:space="0" w:color="000000"/>
                  </w:tcBorders>
                  <w:vAlign w:val="center"/>
                  <w:hideMark/>
                </w:tcPr>
                <w:p w14:paraId="1EEED850" w14:textId="77777777" w:rsidR="005C5745" w:rsidRPr="005C5745" w:rsidRDefault="005C5745" w:rsidP="005C5745">
                  <w:pPr>
                    <w:spacing w:before="45" w:after="45" w:line="240" w:lineRule="auto"/>
                    <w:rPr>
                      <w:rFonts w:ascii="Verdana" w:eastAsia="Times New Roman" w:hAnsi="Verdana" w:cs="Times New Roman"/>
                      <w:color w:val="000000"/>
                      <w:sz w:val="18"/>
                      <w:szCs w:val="18"/>
                      <w:lang w:eastAsia="en-GB"/>
                    </w:rPr>
                  </w:pPr>
                  <w:r w:rsidRPr="005C5745">
                    <w:rPr>
                      <w:rFonts w:ascii="Verdana" w:eastAsia="Times New Roman" w:hAnsi="Verdana" w:cs="Times New Roman"/>
                      <w:color w:val="000000"/>
                      <w:sz w:val="16"/>
                      <w:szCs w:val="16"/>
                      <w:lang w:eastAsia="en-GB"/>
                    </w:rPr>
                    <w:t>2% α</w:t>
                  </w:r>
                  <w:proofErr w:type="spellStart"/>
                  <w:r w:rsidRPr="005C5745">
                    <w:rPr>
                      <w:rFonts w:ascii="Verdana" w:eastAsia="Times New Roman" w:hAnsi="Verdana" w:cs="Times New Roman"/>
                      <w:color w:val="000000"/>
                      <w:sz w:val="16"/>
                      <w:szCs w:val="16"/>
                      <w:lang w:eastAsia="en-GB"/>
                    </w:rPr>
                    <w:t>ύξηση</w:t>
                  </w:r>
                  <w:proofErr w:type="spellEnd"/>
                  <w:r w:rsidRPr="005C5745">
                    <w:rPr>
                      <w:rFonts w:ascii="Verdana" w:eastAsia="Times New Roman" w:hAnsi="Verdana" w:cs="Times New Roman"/>
                      <w:color w:val="000000"/>
                      <w:sz w:val="16"/>
                      <w:szCs w:val="16"/>
                      <w:lang w:eastAsia="en-GB"/>
                    </w:rPr>
                    <w:t xml:space="preserve"> </w:t>
                  </w:r>
                  <w:proofErr w:type="spellStart"/>
                  <w:r w:rsidRPr="005C5745">
                    <w:rPr>
                      <w:rFonts w:ascii="Verdana" w:eastAsia="Times New Roman" w:hAnsi="Verdana" w:cs="Times New Roman"/>
                      <w:color w:val="000000"/>
                      <w:sz w:val="16"/>
                      <w:szCs w:val="16"/>
                      <w:lang w:eastAsia="en-GB"/>
                    </w:rPr>
                    <w:t>λειτουργικού</w:t>
                  </w:r>
                  <w:proofErr w:type="spellEnd"/>
                  <w:r w:rsidRPr="005C5745">
                    <w:rPr>
                      <w:rFonts w:ascii="Verdana" w:eastAsia="Times New Roman" w:hAnsi="Verdana" w:cs="Times New Roman"/>
                      <w:color w:val="000000"/>
                      <w:sz w:val="16"/>
                      <w:szCs w:val="16"/>
                      <w:lang w:eastAsia="en-GB"/>
                    </w:rPr>
                    <w:t xml:space="preserve"> </w:t>
                  </w:r>
                  <w:proofErr w:type="spellStart"/>
                  <w:r w:rsidRPr="005C5745">
                    <w:rPr>
                      <w:rFonts w:ascii="Verdana" w:eastAsia="Times New Roman" w:hAnsi="Verdana" w:cs="Times New Roman"/>
                      <w:color w:val="000000"/>
                      <w:sz w:val="16"/>
                      <w:szCs w:val="16"/>
                      <w:lang w:eastAsia="en-GB"/>
                    </w:rPr>
                    <w:t>κόστους</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4BED4336"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00"/>
                      <w:sz w:val="16"/>
                      <w:szCs w:val="16"/>
                      <w:lang w:eastAsia="en-GB"/>
                    </w:rPr>
                    <w:t>€212.318,72</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683859C3"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00"/>
                      <w:sz w:val="16"/>
                      <w:szCs w:val="16"/>
                      <w:lang w:eastAsia="en-GB"/>
                    </w:rPr>
                    <w:t>11%</w:t>
                  </w:r>
                </w:p>
              </w:tc>
            </w:tr>
            <w:tr w:rsidR="005C5745" w:rsidRPr="005C5745" w14:paraId="777954B5" w14:textId="77777777" w:rsidTr="005C5745">
              <w:trPr>
                <w:trHeight w:val="345"/>
                <w:jc w:val="center"/>
              </w:trPr>
              <w:tc>
                <w:tcPr>
                  <w:tcW w:w="3810" w:type="dxa"/>
                  <w:tcBorders>
                    <w:top w:val="single" w:sz="6" w:space="0" w:color="000000"/>
                    <w:left w:val="single" w:sz="6" w:space="0" w:color="000000"/>
                    <w:bottom w:val="single" w:sz="6" w:space="0" w:color="000000"/>
                    <w:right w:val="single" w:sz="6" w:space="0" w:color="000000"/>
                  </w:tcBorders>
                  <w:vAlign w:val="center"/>
                  <w:hideMark/>
                </w:tcPr>
                <w:p w14:paraId="11585E7C" w14:textId="77777777" w:rsidR="005C5745" w:rsidRPr="005C5745" w:rsidRDefault="005C5745" w:rsidP="005C5745">
                  <w:pPr>
                    <w:spacing w:before="45" w:after="45" w:line="240" w:lineRule="auto"/>
                    <w:rPr>
                      <w:rFonts w:ascii="Verdana" w:eastAsia="Times New Roman" w:hAnsi="Verdana" w:cs="Times New Roman"/>
                      <w:color w:val="000000"/>
                      <w:sz w:val="18"/>
                      <w:szCs w:val="18"/>
                      <w:lang w:eastAsia="en-GB"/>
                    </w:rPr>
                  </w:pPr>
                  <w:r w:rsidRPr="005C5745">
                    <w:rPr>
                      <w:rFonts w:ascii="Verdana" w:eastAsia="Times New Roman" w:hAnsi="Verdana" w:cs="Times New Roman"/>
                      <w:color w:val="000000"/>
                      <w:sz w:val="16"/>
                      <w:szCs w:val="16"/>
                      <w:lang w:eastAsia="en-GB"/>
                    </w:rPr>
                    <w:t>5% α</w:t>
                  </w:r>
                  <w:proofErr w:type="spellStart"/>
                  <w:r w:rsidRPr="005C5745">
                    <w:rPr>
                      <w:rFonts w:ascii="Verdana" w:eastAsia="Times New Roman" w:hAnsi="Verdana" w:cs="Times New Roman"/>
                      <w:color w:val="000000"/>
                      <w:sz w:val="16"/>
                      <w:szCs w:val="16"/>
                      <w:lang w:eastAsia="en-GB"/>
                    </w:rPr>
                    <w:t>ύξηση</w:t>
                  </w:r>
                  <w:proofErr w:type="spellEnd"/>
                  <w:r w:rsidRPr="005C5745">
                    <w:rPr>
                      <w:rFonts w:ascii="Verdana" w:eastAsia="Times New Roman" w:hAnsi="Verdana" w:cs="Times New Roman"/>
                      <w:color w:val="000000"/>
                      <w:sz w:val="16"/>
                      <w:szCs w:val="16"/>
                      <w:lang w:eastAsia="en-GB"/>
                    </w:rPr>
                    <w:t xml:space="preserve"> </w:t>
                  </w:r>
                  <w:proofErr w:type="spellStart"/>
                  <w:r w:rsidRPr="005C5745">
                    <w:rPr>
                      <w:rFonts w:ascii="Verdana" w:eastAsia="Times New Roman" w:hAnsi="Verdana" w:cs="Times New Roman"/>
                      <w:color w:val="000000"/>
                      <w:sz w:val="16"/>
                      <w:szCs w:val="16"/>
                      <w:lang w:eastAsia="en-GB"/>
                    </w:rPr>
                    <w:t>λειτουργικού</w:t>
                  </w:r>
                  <w:proofErr w:type="spellEnd"/>
                  <w:r w:rsidRPr="005C5745">
                    <w:rPr>
                      <w:rFonts w:ascii="Verdana" w:eastAsia="Times New Roman" w:hAnsi="Verdana" w:cs="Times New Roman"/>
                      <w:color w:val="000000"/>
                      <w:sz w:val="16"/>
                      <w:szCs w:val="16"/>
                      <w:lang w:eastAsia="en-GB"/>
                    </w:rPr>
                    <w:t xml:space="preserve"> </w:t>
                  </w:r>
                  <w:proofErr w:type="spellStart"/>
                  <w:r w:rsidRPr="005C5745">
                    <w:rPr>
                      <w:rFonts w:ascii="Verdana" w:eastAsia="Times New Roman" w:hAnsi="Verdana" w:cs="Times New Roman"/>
                      <w:color w:val="000000"/>
                      <w:sz w:val="16"/>
                      <w:szCs w:val="16"/>
                      <w:lang w:eastAsia="en-GB"/>
                    </w:rPr>
                    <w:t>κόστους</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062D6CBA"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00"/>
                      <w:sz w:val="16"/>
                      <w:szCs w:val="16"/>
                      <w:lang w:eastAsia="en-GB"/>
                    </w:rPr>
                    <w:t>€159.625,09</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17B0DF75"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00"/>
                      <w:sz w:val="16"/>
                      <w:szCs w:val="16"/>
                      <w:lang w:eastAsia="en-GB"/>
                    </w:rPr>
                    <w:t>10%</w:t>
                  </w:r>
                </w:p>
              </w:tc>
            </w:tr>
            <w:tr w:rsidR="005C5745" w:rsidRPr="005C5745" w14:paraId="59BBAFC6" w14:textId="77777777" w:rsidTr="005C5745">
              <w:trPr>
                <w:trHeight w:val="345"/>
                <w:jc w:val="center"/>
              </w:trPr>
              <w:tc>
                <w:tcPr>
                  <w:tcW w:w="3810" w:type="dxa"/>
                  <w:tcBorders>
                    <w:top w:val="single" w:sz="6" w:space="0" w:color="000000"/>
                    <w:left w:val="single" w:sz="6" w:space="0" w:color="000000"/>
                    <w:bottom w:val="single" w:sz="6" w:space="0" w:color="000000"/>
                    <w:right w:val="single" w:sz="6" w:space="0" w:color="000000"/>
                  </w:tcBorders>
                  <w:vAlign w:val="center"/>
                  <w:hideMark/>
                </w:tcPr>
                <w:p w14:paraId="04B38F5B" w14:textId="77777777" w:rsidR="005C5745" w:rsidRPr="005C5745" w:rsidRDefault="005C5745" w:rsidP="005C5745">
                  <w:pPr>
                    <w:spacing w:before="45" w:after="45" w:line="240" w:lineRule="auto"/>
                    <w:rPr>
                      <w:rFonts w:ascii="Verdana" w:eastAsia="Times New Roman" w:hAnsi="Verdana" w:cs="Times New Roman"/>
                      <w:color w:val="000000"/>
                      <w:sz w:val="18"/>
                      <w:szCs w:val="18"/>
                      <w:lang w:eastAsia="en-GB"/>
                    </w:rPr>
                  </w:pPr>
                  <w:r w:rsidRPr="005C5745">
                    <w:rPr>
                      <w:rFonts w:ascii="Verdana" w:eastAsia="Times New Roman" w:hAnsi="Verdana" w:cs="Times New Roman"/>
                      <w:color w:val="000000"/>
                      <w:sz w:val="16"/>
                      <w:szCs w:val="16"/>
                      <w:lang w:eastAsia="en-GB"/>
                    </w:rPr>
                    <w:t>2% α</w:t>
                  </w:r>
                  <w:proofErr w:type="spellStart"/>
                  <w:r w:rsidRPr="005C5745">
                    <w:rPr>
                      <w:rFonts w:ascii="Verdana" w:eastAsia="Times New Roman" w:hAnsi="Verdana" w:cs="Times New Roman"/>
                      <w:color w:val="000000"/>
                      <w:sz w:val="16"/>
                      <w:szCs w:val="16"/>
                      <w:lang w:eastAsia="en-GB"/>
                    </w:rPr>
                    <w:t>ύξηση</w:t>
                  </w:r>
                  <w:proofErr w:type="spellEnd"/>
                  <w:r w:rsidRPr="005C5745">
                    <w:rPr>
                      <w:rFonts w:ascii="Verdana" w:eastAsia="Times New Roman" w:hAnsi="Verdana" w:cs="Times New Roman"/>
                      <w:color w:val="000000"/>
                      <w:sz w:val="16"/>
                      <w:szCs w:val="16"/>
                      <w:lang w:eastAsia="en-GB"/>
                    </w:rPr>
                    <w:t xml:space="preserve"> </w:t>
                  </w:r>
                  <w:proofErr w:type="spellStart"/>
                  <w:r w:rsidRPr="005C5745">
                    <w:rPr>
                      <w:rFonts w:ascii="Verdana" w:eastAsia="Times New Roman" w:hAnsi="Verdana" w:cs="Times New Roman"/>
                      <w:color w:val="000000"/>
                      <w:sz w:val="16"/>
                      <w:szCs w:val="16"/>
                      <w:lang w:eastAsia="en-GB"/>
                    </w:rPr>
                    <w:t>εσόδων</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778F433D"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00"/>
                      <w:sz w:val="16"/>
                      <w:szCs w:val="16"/>
                      <w:lang w:eastAsia="en-GB"/>
                    </w:rPr>
                    <w:t>€308.476,44</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4E13694E"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00"/>
                      <w:sz w:val="16"/>
                      <w:szCs w:val="16"/>
                      <w:lang w:eastAsia="en-GB"/>
                    </w:rPr>
                    <w:t>13%</w:t>
                  </w:r>
                </w:p>
              </w:tc>
            </w:tr>
            <w:tr w:rsidR="005C5745" w:rsidRPr="005C5745" w14:paraId="4F302863" w14:textId="77777777" w:rsidTr="005C5745">
              <w:trPr>
                <w:trHeight w:val="345"/>
                <w:jc w:val="center"/>
              </w:trPr>
              <w:tc>
                <w:tcPr>
                  <w:tcW w:w="3810" w:type="dxa"/>
                  <w:tcBorders>
                    <w:top w:val="single" w:sz="6" w:space="0" w:color="000000"/>
                    <w:left w:val="single" w:sz="6" w:space="0" w:color="000000"/>
                    <w:bottom w:val="single" w:sz="6" w:space="0" w:color="000000"/>
                    <w:right w:val="single" w:sz="6" w:space="0" w:color="000000"/>
                  </w:tcBorders>
                  <w:vAlign w:val="center"/>
                  <w:hideMark/>
                </w:tcPr>
                <w:p w14:paraId="105321FD" w14:textId="77777777" w:rsidR="005C5745" w:rsidRPr="005C5745" w:rsidRDefault="005C5745" w:rsidP="005C5745">
                  <w:pPr>
                    <w:spacing w:before="45" w:after="45" w:line="240" w:lineRule="auto"/>
                    <w:rPr>
                      <w:rFonts w:ascii="Verdana" w:eastAsia="Times New Roman" w:hAnsi="Verdana" w:cs="Times New Roman"/>
                      <w:color w:val="000000"/>
                      <w:sz w:val="18"/>
                      <w:szCs w:val="18"/>
                      <w:lang w:eastAsia="en-GB"/>
                    </w:rPr>
                  </w:pPr>
                  <w:r w:rsidRPr="005C5745">
                    <w:rPr>
                      <w:rFonts w:ascii="Verdana" w:eastAsia="Times New Roman" w:hAnsi="Verdana" w:cs="Times New Roman"/>
                      <w:color w:val="000000"/>
                      <w:sz w:val="16"/>
                      <w:szCs w:val="16"/>
                      <w:lang w:eastAsia="en-GB"/>
                    </w:rPr>
                    <w:t xml:space="preserve">5% </w:t>
                  </w:r>
                  <w:proofErr w:type="spellStart"/>
                  <w:r w:rsidRPr="005C5745">
                    <w:rPr>
                      <w:rFonts w:ascii="Verdana" w:eastAsia="Times New Roman" w:hAnsi="Verdana" w:cs="Times New Roman"/>
                      <w:color w:val="000000"/>
                      <w:sz w:val="16"/>
                      <w:szCs w:val="16"/>
                      <w:lang w:eastAsia="en-GB"/>
                    </w:rPr>
                    <w:t>μείωση</w:t>
                  </w:r>
                  <w:proofErr w:type="spellEnd"/>
                  <w:r w:rsidRPr="005C5745">
                    <w:rPr>
                      <w:rFonts w:ascii="Verdana" w:eastAsia="Times New Roman" w:hAnsi="Verdana" w:cs="Times New Roman"/>
                      <w:color w:val="000000"/>
                      <w:sz w:val="16"/>
                      <w:szCs w:val="16"/>
                      <w:lang w:eastAsia="en-GB"/>
                    </w:rPr>
                    <w:t xml:space="preserve"> </w:t>
                  </w:r>
                  <w:proofErr w:type="spellStart"/>
                  <w:r w:rsidRPr="005C5745">
                    <w:rPr>
                      <w:rFonts w:ascii="Verdana" w:eastAsia="Times New Roman" w:hAnsi="Verdana" w:cs="Times New Roman"/>
                      <w:color w:val="000000"/>
                      <w:sz w:val="16"/>
                      <w:szCs w:val="16"/>
                      <w:lang w:eastAsia="en-GB"/>
                    </w:rPr>
                    <w:t>εσόδων</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604B9F54"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00"/>
                      <w:sz w:val="16"/>
                      <w:szCs w:val="16"/>
                      <w:lang w:eastAsia="en-GB"/>
                    </w:rPr>
                    <w:t>€94.876,22</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502C511A" w14:textId="77777777" w:rsidR="005C5745" w:rsidRPr="005C5745" w:rsidRDefault="005C5745" w:rsidP="005C5745">
                  <w:pPr>
                    <w:spacing w:before="45" w:after="45" w:line="240" w:lineRule="auto"/>
                    <w:jc w:val="center"/>
                    <w:rPr>
                      <w:rFonts w:ascii="Verdana" w:eastAsia="Times New Roman" w:hAnsi="Verdana" w:cs="Times New Roman"/>
                      <w:color w:val="000000"/>
                      <w:sz w:val="18"/>
                      <w:szCs w:val="18"/>
                      <w:lang w:eastAsia="en-GB"/>
                    </w:rPr>
                  </w:pPr>
                  <w:r w:rsidRPr="005C5745">
                    <w:rPr>
                      <w:rFonts w:ascii="Verdana" w:eastAsia="Times New Roman" w:hAnsi="Verdana" w:cs="Times New Roman"/>
                      <w:b/>
                      <w:bCs/>
                      <w:color w:val="000000"/>
                      <w:sz w:val="16"/>
                      <w:szCs w:val="16"/>
                      <w:lang w:eastAsia="en-GB"/>
                    </w:rPr>
                    <w:t>8%</w:t>
                  </w:r>
                </w:p>
              </w:tc>
            </w:tr>
          </w:tbl>
          <w:p w14:paraId="058A44EC" w14:textId="77777777" w:rsidR="005C5745" w:rsidRPr="005C5745" w:rsidRDefault="005C5745" w:rsidP="005C5745">
            <w:pPr>
              <w:spacing w:before="45" w:after="45" w:line="240" w:lineRule="auto"/>
              <w:jc w:val="both"/>
              <w:rPr>
                <w:rFonts w:ascii="Verdana" w:eastAsia="Times New Roman" w:hAnsi="Verdana" w:cs="Times New Roman"/>
                <w:color w:val="000000"/>
                <w:sz w:val="18"/>
                <w:szCs w:val="18"/>
                <w:lang w:eastAsia="en-GB"/>
              </w:rPr>
            </w:pPr>
            <w:r w:rsidRPr="005C5745">
              <w:rPr>
                <w:rFonts w:ascii="Arial" w:eastAsia="Times New Roman" w:hAnsi="Arial" w:cs="Arial"/>
                <w:color w:val="000000"/>
                <w:lang w:eastAsia="en-GB"/>
              </w:rPr>
              <w:t> </w:t>
            </w:r>
          </w:p>
        </w:tc>
      </w:tr>
    </w:tbl>
    <w:p w14:paraId="4561D67B" w14:textId="77777777" w:rsidR="005C5745" w:rsidRPr="005C5745" w:rsidRDefault="005C5745" w:rsidP="005C5745">
      <w:pPr>
        <w:spacing w:after="0" w:line="240" w:lineRule="auto"/>
        <w:rPr>
          <w:rFonts w:ascii="Verdana" w:eastAsia="Times New Roman" w:hAnsi="Verdana" w:cs="Times New Roman"/>
          <w:vanish/>
          <w:color w:val="000000"/>
          <w:sz w:val="18"/>
          <w:szCs w:val="18"/>
          <w:lang w:eastAsia="en-G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3958"/>
      </w:tblGrid>
      <w:tr w:rsidR="005C5745" w:rsidRPr="005C5745" w14:paraId="7B52F973" w14:textId="77777777" w:rsidTr="005C5745">
        <w:trPr>
          <w:tblCellSpacing w:w="0" w:type="dxa"/>
        </w:trPr>
        <w:tc>
          <w:tcPr>
            <w:tcW w:w="0" w:type="auto"/>
            <w:vAlign w:val="center"/>
            <w:hideMark/>
          </w:tcPr>
          <w:p w14:paraId="556E161B" w14:textId="77777777" w:rsidR="005C5745" w:rsidRPr="005C5745" w:rsidRDefault="000D0C06" w:rsidP="005C5745">
            <w:pPr>
              <w:spacing w:after="0" w:line="240" w:lineRule="auto"/>
              <w:jc w:val="center"/>
              <w:rPr>
                <w:rFonts w:ascii="Verdana" w:eastAsia="Times New Roman" w:hAnsi="Verdana" w:cs="Times New Roman"/>
                <w:color w:val="000000"/>
                <w:sz w:val="16"/>
                <w:szCs w:val="16"/>
                <w:lang w:eastAsia="en-GB"/>
              </w:rPr>
            </w:pPr>
            <w:r>
              <w:rPr>
                <w:rFonts w:ascii="Verdana" w:eastAsia="Times New Roman" w:hAnsi="Verdana" w:cs="Times New Roman"/>
                <w:color w:val="000000"/>
                <w:sz w:val="16"/>
                <w:szCs w:val="16"/>
                <w:lang w:eastAsia="en-GB"/>
              </w:rPr>
              <w:pict w14:anchorId="21622251">
                <v:rect id="_x0000_i1025" style="width:446.8pt;height:.75pt" o:hrpct="990" o:hralign="center" o:hrstd="t" o:hrnoshade="t" o:hr="t" fillcolor="#ccc" stroked="f"/>
              </w:pict>
            </w:r>
          </w:p>
        </w:tc>
      </w:tr>
      <w:tr w:rsidR="005C5745" w:rsidRPr="005C5745" w14:paraId="2A3968B8" w14:textId="77777777" w:rsidTr="005C5745">
        <w:trPr>
          <w:tblCellSpacing w:w="0" w:type="dxa"/>
        </w:trPr>
        <w:tc>
          <w:tcPr>
            <w:tcW w:w="0" w:type="auto"/>
            <w:vAlign w:val="center"/>
            <w:hideMark/>
          </w:tcPr>
          <w:p w14:paraId="3938A358" w14:textId="77777777" w:rsidR="005C5745" w:rsidRPr="005C5745" w:rsidRDefault="005C5745" w:rsidP="005C5745">
            <w:pPr>
              <w:spacing w:after="0" w:line="240" w:lineRule="auto"/>
              <w:jc w:val="center"/>
              <w:rPr>
                <w:rFonts w:ascii="Verdana" w:eastAsia="Times New Roman" w:hAnsi="Verdana" w:cs="Times New Roman"/>
                <w:color w:val="999999"/>
                <w:sz w:val="15"/>
                <w:szCs w:val="15"/>
                <w:lang w:val="el-GR" w:eastAsia="en-GB"/>
              </w:rPr>
            </w:pPr>
            <w:r w:rsidRPr="005C5745">
              <w:rPr>
                <w:rFonts w:ascii="Verdana" w:eastAsia="Times New Roman" w:hAnsi="Verdana" w:cs="Times New Roman"/>
                <w:color w:val="999999"/>
                <w:sz w:val="15"/>
                <w:szCs w:val="15"/>
                <w:lang w:val="el-GR" w:eastAsia="en-GB"/>
              </w:rPr>
              <w:t>© 2007 Κυπριακή Δημοκρατία, Γενικό Λογιστήριο της Δημοκρατίας, Διεύθυνση Δημοσίων Συμβάσεων</w:t>
            </w:r>
          </w:p>
          <w:p w14:paraId="4CDF3678" w14:textId="77777777" w:rsidR="005C5745" w:rsidRPr="005C5745" w:rsidRDefault="000D0C06" w:rsidP="005C5745">
            <w:pPr>
              <w:spacing w:after="0" w:line="240" w:lineRule="auto"/>
              <w:jc w:val="center"/>
              <w:rPr>
                <w:rFonts w:ascii="Verdana" w:eastAsia="Times New Roman" w:hAnsi="Verdana" w:cs="Times New Roman"/>
                <w:color w:val="000000"/>
                <w:sz w:val="18"/>
                <w:szCs w:val="18"/>
                <w:lang w:val="el-GR" w:eastAsia="en-GB"/>
              </w:rPr>
            </w:pPr>
            <w:hyperlink r:id="rId16" w:history="1">
              <w:r w:rsidR="005C5745" w:rsidRPr="005C5745">
                <w:rPr>
                  <w:rFonts w:ascii="Verdana" w:eastAsia="Times New Roman" w:hAnsi="Verdana" w:cs="Times New Roman"/>
                  <w:color w:val="0000FF"/>
                  <w:sz w:val="16"/>
                  <w:szCs w:val="16"/>
                  <w:lang w:val="el-GR" w:eastAsia="en-GB"/>
                </w:rPr>
                <w:t>Αρχική Σελίδα</w:t>
              </w:r>
            </w:hyperlink>
            <w:r w:rsidR="005C5745" w:rsidRPr="005C5745">
              <w:rPr>
                <w:rFonts w:ascii="Verdana" w:eastAsia="Times New Roman" w:hAnsi="Verdana" w:cs="Times New Roman"/>
                <w:color w:val="000000"/>
                <w:sz w:val="18"/>
                <w:szCs w:val="18"/>
                <w:lang w:eastAsia="en-GB"/>
              </w:rPr>
              <w:t> </w:t>
            </w:r>
            <w:r w:rsidR="005C5745" w:rsidRPr="005C5745">
              <w:rPr>
                <w:rFonts w:ascii="Verdana" w:eastAsia="Times New Roman" w:hAnsi="Verdana" w:cs="Times New Roman"/>
                <w:color w:val="000000"/>
                <w:sz w:val="18"/>
                <w:szCs w:val="18"/>
                <w:lang w:val="el-GR" w:eastAsia="en-GB"/>
              </w:rPr>
              <w:t xml:space="preserve">| </w:t>
            </w:r>
            <w:hyperlink r:id="rId17" w:tgtFrame="_blank" w:history="1">
              <w:r w:rsidR="005C5745" w:rsidRPr="005C5745">
                <w:rPr>
                  <w:rFonts w:ascii="Verdana" w:eastAsia="Times New Roman" w:hAnsi="Verdana" w:cs="Times New Roman"/>
                  <w:color w:val="0000FF"/>
                  <w:sz w:val="16"/>
                  <w:szCs w:val="16"/>
                  <w:lang w:val="el-GR" w:eastAsia="en-GB"/>
                </w:rPr>
                <w:t>Κυβερνητική Πύλη Διαδικτύου</w:t>
              </w:r>
            </w:hyperlink>
            <w:r w:rsidR="005C5745" w:rsidRPr="005C5745">
              <w:rPr>
                <w:rFonts w:ascii="Verdana" w:eastAsia="Times New Roman" w:hAnsi="Verdana" w:cs="Times New Roman"/>
                <w:color w:val="000000"/>
                <w:sz w:val="18"/>
                <w:szCs w:val="18"/>
                <w:lang w:eastAsia="en-GB"/>
              </w:rPr>
              <w:t> </w:t>
            </w:r>
            <w:r w:rsidR="005C5745" w:rsidRPr="005C5745">
              <w:rPr>
                <w:rFonts w:ascii="Verdana" w:eastAsia="Times New Roman" w:hAnsi="Verdana" w:cs="Times New Roman"/>
                <w:color w:val="000000"/>
                <w:sz w:val="18"/>
                <w:szCs w:val="18"/>
                <w:lang w:val="el-GR" w:eastAsia="en-GB"/>
              </w:rPr>
              <w:t xml:space="preserve">| </w:t>
            </w:r>
            <w:hyperlink r:id="rId18" w:history="1">
              <w:r w:rsidR="005C5745" w:rsidRPr="005C5745">
                <w:rPr>
                  <w:rFonts w:ascii="Verdana" w:eastAsia="Times New Roman" w:hAnsi="Verdana" w:cs="Times New Roman"/>
                  <w:color w:val="0000FF"/>
                  <w:sz w:val="16"/>
                  <w:szCs w:val="16"/>
                  <w:lang w:val="el-GR" w:eastAsia="en-GB"/>
                </w:rPr>
                <w:t>Αποποίηση</w:t>
              </w:r>
            </w:hyperlink>
            <w:r w:rsidR="005C5745" w:rsidRPr="005C5745">
              <w:rPr>
                <w:rFonts w:ascii="Verdana" w:eastAsia="Times New Roman" w:hAnsi="Verdana" w:cs="Times New Roman"/>
                <w:color w:val="000000"/>
                <w:sz w:val="18"/>
                <w:szCs w:val="18"/>
                <w:lang w:eastAsia="en-GB"/>
              </w:rPr>
              <w:t> </w:t>
            </w:r>
            <w:r w:rsidR="005C5745" w:rsidRPr="005C5745">
              <w:rPr>
                <w:rFonts w:ascii="Verdana" w:eastAsia="Times New Roman" w:hAnsi="Verdana" w:cs="Times New Roman"/>
                <w:color w:val="000000"/>
                <w:sz w:val="18"/>
                <w:szCs w:val="18"/>
                <w:lang w:val="el-GR" w:eastAsia="en-GB"/>
              </w:rPr>
              <w:t xml:space="preserve">| </w:t>
            </w:r>
            <w:hyperlink r:id="rId19" w:history="1">
              <w:r w:rsidR="005C5745" w:rsidRPr="005C5745">
                <w:rPr>
                  <w:rFonts w:ascii="Verdana" w:eastAsia="Times New Roman" w:hAnsi="Verdana" w:cs="Times New Roman"/>
                  <w:color w:val="0000FF"/>
                  <w:sz w:val="16"/>
                  <w:szCs w:val="16"/>
                  <w:lang w:val="el-GR" w:eastAsia="en-GB"/>
                </w:rPr>
                <w:t>Υπεύθυνος Σελίδας</w:t>
              </w:r>
            </w:hyperlink>
            <w:r w:rsidR="005C5745" w:rsidRPr="005C5745">
              <w:rPr>
                <w:rFonts w:ascii="Verdana" w:eastAsia="Times New Roman" w:hAnsi="Verdana" w:cs="Times New Roman"/>
                <w:color w:val="000000"/>
                <w:sz w:val="18"/>
                <w:szCs w:val="18"/>
                <w:lang w:val="el-GR" w:eastAsia="en-GB"/>
              </w:rPr>
              <w:t xml:space="preserve"> </w:t>
            </w:r>
          </w:p>
        </w:tc>
      </w:tr>
    </w:tbl>
    <w:p w14:paraId="382CFB35" w14:textId="77777777" w:rsidR="00E8293B" w:rsidRPr="005C5745" w:rsidRDefault="000D0C06">
      <w:pPr>
        <w:rPr>
          <w:lang w:val="el-GR"/>
        </w:rPr>
      </w:pPr>
    </w:p>
    <w:sectPr w:rsidR="00E8293B" w:rsidRPr="005C5745" w:rsidSect="005C574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45"/>
    <w:rsid w:val="000D0C06"/>
    <w:rsid w:val="002C76B3"/>
    <w:rsid w:val="005C5745"/>
    <w:rsid w:val="00C74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2E3B"/>
  <w15:chartTrackingRefBased/>
  <w15:docId w15:val="{8A285EF4-7611-4405-A0F1-6AA7A10F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603152">
      <w:bodyDiv w:val="1"/>
      <w:marLeft w:val="0"/>
      <w:marRight w:val="0"/>
      <w:marTop w:val="0"/>
      <w:marBottom w:val="0"/>
      <w:divBdr>
        <w:top w:val="none" w:sz="0" w:space="0" w:color="auto"/>
        <w:left w:val="none" w:sz="0" w:space="0" w:color="auto"/>
        <w:bottom w:val="none" w:sz="0" w:space="0" w:color="auto"/>
        <w:right w:val="none" w:sz="0" w:space="0" w:color="auto"/>
      </w:divBdr>
      <w:divsChild>
        <w:div w:id="952632218">
          <w:marLeft w:val="0"/>
          <w:marRight w:val="0"/>
          <w:marTop w:val="45"/>
          <w:marBottom w:val="45"/>
          <w:divBdr>
            <w:top w:val="none" w:sz="0" w:space="0" w:color="auto"/>
            <w:left w:val="none" w:sz="0" w:space="0" w:color="auto"/>
            <w:bottom w:val="none" w:sz="0" w:space="0" w:color="auto"/>
            <w:right w:val="none" w:sz="0" w:space="0" w:color="auto"/>
          </w:divBdr>
        </w:div>
        <w:div w:id="135536494">
          <w:marLeft w:val="0"/>
          <w:marRight w:val="0"/>
          <w:marTop w:val="45"/>
          <w:marBottom w:val="45"/>
          <w:divBdr>
            <w:top w:val="none" w:sz="0" w:space="0" w:color="auto"/>
            <w:left w:val="none" w:sz="0" w:space="0" w:color="auto"/>
            <w:bottom w:val="none" w:sz="0" w:space="0" w:color="auto"/>
            <w:right w:val="none" w:sz="0" w:space="0" w:color="auto"/>
          </w:divBdr>
        </w:div>
        <w:div w:id="967203436">
          <w:marLeft w:val="0"/>
          <w:marRight w:val="0"/>
          <w:marTop w:val="45"/>
          <w:marBottom w:val="45"/>
          <w:divBdr>
            <w:top w:val="none" w:sz="0" w:space="0" w:color="auto"/>
            <w:left w:val="none" w:sz="0" w:space="0" w:color="auto"/>
            <w:bottom w:val="none" w:sz="0" w:space="0" w:color="auto"/>
            <w:right w:val="none" w:sz="0" w:space="0" w:color="auto"/>
          </w:divBdr>
        </w:div>
        <w:div w:id="2140342959">
          <w:marLeft w:val="0"/>
          <w:marRight w:val="0"/>
          <w:marTop w:val="45"/>
          <w:marBottom w:val="45"/>
          <w:divBdr>
            <w:top w:val="none" w:sz="0" w:space="0" w:color="auto"/>
            <w:left w:val="none" w:sz="0" w:space="0" w:color="auto"/>
            <w:bottom w:val="none" w:sz="0" w:space="0" w:color="auto"/>
            <w:right w:val="none" w:sz="0" w:space="0" w:color="auto"/>
          </w:divBdr>
        </w:div>
        <w:div w:id="1533959654">
          <w:marLeft w:val="0"/>
          <w:marRight w:val="0"/>
          <w:marTop w:val="45"/>
          <w:marBottom w:val="45"/>
          <w:divBdr>
            <w:top w:val="none" w:sz="0" w:space="0" w:color="auto"/>
            <w:left w:val="none" w:sz="0" w:space="0" w:color="auto"/>
            <w:bottom w:val="none" w:sz="0" w:space="0" w:color="auto"/>
            <w:right w:val="none" w:sz="0" w:space="0" w:color="auto"/>
          </w:divBdr>
        </w:div>
        <w:div w:id="1383676109">
          <w:marLeft w:val="0"/>
          <w:marRight w:val="0"/>
          <w:marTop w:val="45"/>
          <w:marBottom w:val="45"/>
          <w:divBdr>
            <w:top w:val="none" w:sz="0" w:space="0" w:color="auto"/>
            <w:left w:val="none" w:sz="0" w:space="0" w:color="auto"/>
            <w:bottom w:val="none" w:sz="0" w:space="0" w:color="auto"/>
            <w:right w:val="none" w:sz="0" w:space="0" w:color="auto"/>
          </w:divBdr>
        </w:div>
        <w:div w:id="991444981">
          <w:marLeft w:val="0"/>
          <w:marRight w:val="0"/>
          <w:marTop w:val="45"/>
          <w:marBottom w:val="45"/>
          <w:divBdr>
            <w:top w:val="none" w:sz="0" w:space="0" w:color="auto"/>
            <w:left w:val="none" w:sz="0" w:space="0" w:color="auto"/>
            <w:bottom w:val="none" w:sz="0" w:space="0" w:color="auto"/>
            <w:right w:val="none" w:sz="0" w:space="0" w:color="auto"/>
          </w:divBdr>
        </w:div>
        <w:div w:id="258831333">
          <w:marLeft w:val="0"/>
          <w:marRight w:val="0"/>
          <w:marTop w:val="45"/>
          <w:marBottom w:val="45"/>
          <w:divBdr>
            <w:top w:val="none" w:sz="0" w:space="0" w:color="auto"/>
            <w:left w:val="none" w:sz="0" w:space="0" w:color="auto"/>
            <w:bottom w:val="none" w:sz="0" w:space="0" w:color="auto"/>
            <w:right w:val="none" w:sz="0" w:space="0" w:color="auto"/>
          </w:divBdr>
        </w:div>
        <w:div w:id="756710545">
          <w:marLeft w:val="0"/>
          <w:marRight w:val="0"/>
          <w:marTop w:val="45"/>
          <w:marBottom w:val="45"/>
          <w:divBdr>
            <w:top w:val="none" w:sz="0" w:space="0" w:color="auto"/>
            <w:left w:val="none" w:sz="0" w:space="0" w:color="auto"/>
            <w:bottom w:val="none" w:sz="0" w:space="0" w:color="auto"/>
            <w:right w:val="none" w:sz="0" w:space="0" w:color="auto"/>
          </w:divBdr>
        </w:div>
        <w:div w:id="1611205283">
          <w:marLeft w:val="0"/>
          <w:marRight w:val="0"/>
          <w:marTop w:val="45"/>
          <w:marBottom w:val="45"/>
          <w:divBdr>
            <w:top w:val="none" w:sz="0" w:space="0" w:color="auto"/>
            <w:left w:val="none" w:sz="0" w:space="0" w:color="auto"/>
            <w:bottom w:val="none" w:sz="0" w:space="0" w:color="auto"/>
            <w:right w:val="none" w:sz="0" w:space="0" w:color="auto"/>
          </w:divBdr>
          <w:divsChild>
            <w:div w:id="196359236">
              <w:marLeft w:val="180"/>
              <w:marRight w:val="0"/>
              <w:marTop w:val="45"/>
              <w:marBottom w:val="45"/>
              <w:divBdr>
                <w:top w:val="none" w:sz="0" w:space="0" w:color="auto"/>
                <w:left w:val="none" w:sz="0" w:space="0" w:color="auto"/>
                <w:bottom w:val="none" w:sz="0" w:space="0" w:color="auto"/>
                <w:right w:val="none" w:sz="0" w:space="0" w:color="auto"/>
              </w:divBdr>
            </w:div>
            <w:div w:id="694157791">
              <w:marLeft w:val="180"/>
              <w:marRight w:val="0"/>
              <w:marTop w:val="45"/>
              <w:marBottom w:val="45"/>
              <w:divBdr>
                <w:top w:val="none" w:sz="0" w:space="0" w:color="auto"/>
                <w:left w:val="none" w:sz="0" w:space="0" w:color="auto"/>
                <w:bottom w:val="none" w:sz="0" w:space="0" w:color="auto"/>
                <w:right w:val="none" w:sz="0" w:space="0" w:color="auto"/>
              </w:divBdr>
            </w:div>
            <w:div w:id="476076026">
              <w:marLeft w:val="180"/>
              <w:marRight w:val="0"/>
              <w:marTop w:val="45"/>
              <w:marBottom w:val="45"/>
              <w:divBdr>
                <w:top w:val="none" w:sz="0" w:space="0" w:color="auto"/>
                <w:left w:val="none" w:sz="0" w:space="0" w:color="auto"/>
                <w:bottom w:val="none" w:sz="0" w:space="0" w:color="auto"/>
                <w:right w:val="none" w:sz="0" w:space="0" w:color="auto"/>
              </w:divBdr>
            </w:div>
            <w:div w:id="1550722490">
              <w:marLeft w:val="180"/>
              <w:marRight w:val="0"/>
              <w:marTop w:val="45"/>
              <w:marBottom w:val="45"/>
              <w:divBdr>
                <w:top w:val="none" w:sz="0" w:space="0" w:color="auto"/>
                <w:left w:val="none" w:sz="0" w:space="0" w:color="auto"/>
                <w:bottom w:val="none" w:sz="0" w:space="0" w:color="auto"/>
                <w:right w:val="none" w:sz="0" w:space="0" w:color="auto"/>
              </w:divBdr>
            </w:div>
            <w:div w:id="1402678477">
              <w:marLeft w:val="180"/>
              <w:marRight w:val="0"/>
              <w:marTop w:val="45"/>
              <w:marBottom w:val="45"/>
              <w:divBdr>
                <w:top w:val="none" w:sz="0" w:space="0" w:color="auto"/>
                <w:left w:val="none" w:sz="0" w:space="0" w:color="auto"/>
                <w:bottom w:val="none" w:sz="0" w:space="0" w:color="auto"/>
                <w:right w:val="none" w:sz="0" w:space="0" w:color="auto"/>
              </w:divBdr>
            </w:div>
            <w:div w:id="1320844259">
              <w:marLeft w:val="180"/>
              <w:marRight w:val="0"/>
              <w:marTop w:val="45"/>
              <w:marBottom w:val="45"/>
              <w:divBdr>
                <w:top w:val="none" w:sz="0" w:space="0" w:color="auto"/>
                <w:left w:val="none" w:sz="0" w:space="0" w:color="auto"/>
                <w:bottom w:val="none" w:sz="0" w:space="0" w:color="auto"/>
                <w:right w:val="none" w:sz="0" w:space="0" w:color="auto"/>
              </w:divBdr>
            </w:div>
          </w:divsChild>
        </w:div>
        <w:div w:id="1093822119">
          <w:marLeft w:val="0"/>
          <w:marRight w:val="0"/>
          <w:marTop w:val="45"/>
          <w:marBottom w:val="45"/>
          <w:divBdr>
            <w:top w:val="none" w:sz="0" w:space="0" w:color="auto"/>
            <w:left w:val="none" w:sz="0" w:space="0" w:color="auto"/>
            <w:bottom w:val="none" w:sz="0" w:space="0" w:color="auto"/>
            <w:right w:val="none" w:sz="0" w:space="0" w:color="auto"/>
          </w:divBdr>
          <w:divsChild>
            <w:div w:id="1717662132">
              <w:marLeft w:val="0"/>
              <w:marRight w:val="0"/>
              <w:marTop w:val="45"/>
              <w:marBottom w:val="45"/>
              <w:divBdr>
                <w:top w:val="none" w:sz="0" w:space="0" w:color="auto"/>
                <w:left w:val="none" w:sz="0" w:space="0" w:color="auto"/>
                <w:bottom w:val="none" w:sz="0" w:space="0" w:color="auto"/>
                <w:right w:val="none" w:sz="0" w:space="0" w:color="auto"/>
              </w:divBdr>
              <w:divsChild>
                <w:div w:id="2108650432">
                  <w:marLeft w:val="120"/>
                  <w:marRight w:val="0"/>
                  <w:marTop w:val="45"/>
                  <w:marBottom w:val="45"/>
                  <w:divBdr>
                    <w:top w:val="none" w:sz="0" w:space="0" w:color="auto"/>
                    <w:left w:val="none" w:sz="0" w:space="0" w:color="auto"/>
                    <w:bottom w:val="none" w:sz="0" w:space="0" w:color="auto"/>
                    <w:right w:val="none" w:sz="0" w:space="0" w:color="auto"/>
                  </w:divBdr>
                </w:div>
                <w:div w:id="42607993">
                  <w:marLeft w:val="120"/>
                  <w:marRight w:val="0"/>
                  <w:marTop w:val="45"/>
                  <w:marBottom w:val="45"/>
                  <w:divBdr>
                    <w:top w:val="none" w:sz="0" w:space="0" w:color="auto"/>
                    <w:left w:val="none" w:sz="0" w:space="0" w:color="auto"/>
                    <w:bottom w:val="none" w:sz="0" w:space="0" w:color="auto"/>
                    <w:right w:val="none" w:sz="0" w:space="0" w:color="auto"/>
                  </w:divBdr>
                </w:div>
                <w:div w:id="60638499">
                  <w:marLeft w:val="120"/>
                  <w:marRight w:val="0"/>
                  <w:marTop w:val="45"/>
                  <w:marBottom w:val="45"/>
                  <w:divBdr>
                    <w:top w:val="none" w:sz="0" w:space="0" w:color="auto"/>
                    <w:left w:val="none" w:sz="0" w:space="0" w:color="auto"/>
                    <w:bottom w:val="none" w:sz="0" w:space="0" w:color="auto"/>
                    <w:right w:val="none" w:sz="0" w:space="0" w:color="auto"/>
                  </w:divBdr>
                </w:div>
                <w:div w:id="1252812567">
                  <w:marLeft w:val="120"/>
                  <w:marRight w:val="0"/>
                  <w:marTop w:val="45"/>
                  <w:marBottom w:val="45"/>
                  <w:divBdr>
                    <w:top w:val="none" w:sz="0" w:space="0" w:color="auto"/>
                    <w:left w:val="none" w:sz="0" w:space="0" w:color="auto"/>
                    <w:bottom w:val="none" w:sz="0" w:space="0" w:color="auto"/>
                    <w:right w:val="none" w:sz="0" w:space="0" w:color="auto"/>
                  </w:divBdr>
                </w:div>
                <w:div w:id="1641498333">
                  <w:marLeft w:val="120"/>
                  <w:marRight w:val="0"/>
                  <w:marTop w:val="45"/>
                  <w:marBottom w:val="45"/>
                  <w:divBdr>
                    <w:top w:val="none" w:sz="0" w:space="0" w:color="auto"/>
                    <w:left w:val="none" w:sz="0" w:space="0" w:color="auto"/>
                    <w:bottom w:val="none" w:sz="0" w:space="0" w:color="auto"/>
                    <w:right w:val="none" w:sz="0" w:space="0" w:color="auto"/>
                  </w:divBdr>
                </w:div>
                <w:div w:id="1655986413">
                  <w:marLeft w:val="120"/>
                  <w:marRight w:val="0"/>
                  <w:marTop w:val="45"/>
                  <w:marBottom w:val="45"/>
                  <w:divBdr>
                    <w:top w:val="none" w:sz="0" w:space="0" w:color="auto"/>
                    <w:left w:val="none" w:sz="0" w:space="0" w:color="auto"/>
                    <w:bottom w:val="none" w:sz="0" w:space="0" w:color="auto"/>
                    <w:right w:val="none" w:sz="0" w:space="0" w:color="auto"/>
                  </w:divBdr>
                </w:div>
                <w:div w:id="735519883">
                  <w:marLeft w:val="120"/>
                  <w:marRight w:val="0"/>
                  <w:marTop w:val="45"/>
                  <w:marBottom w:val="45"/>
                  <w:divBdr>
                    <w:top w:val="none" w:sz="0" w:space="0" w:color="auto"/>
                    <w:left w:val="none" w:sz="0" w:space="0" w:color="auto"/>
                    <w:bottom w:val="none" w:sz="0" w:space="0" w:color="auto"/>
                    <w:right w:val="none" w:sz="0" w:space="0" w:color="auto"/>
                  </w:divBdr>
                </w:div>
                <w:div w:id="349457077">
                  <w:marLeft w:val="120"/>
                  <w:marRight w:val="0"/>
                  <w:marTop w:val="45"/>
                  <w:marBottom w:val="45"/>
                  <w:divBdr>
                    <w:top w:val="none" w:sz="0" w:space="0" w:color="auto"/>
                    <w:left w:val="none" w:sz="0" w:space="0" w:color="auto"/>
                    <w:bottom w:val="none" w:sz="0" w:space="0" w:color="auto"/>
                    <w:right w:val="none" w:sz="0" w:space="0" w:color="auto"/>
                  </w:divBdr>
                </w:div>
                <w:div w:id="1626889426">
                  <w:marLeft w:val="120"/>
                  <w:marRight w:val="0"/>
                  <w:marTop w:val="45"/>
                  <w:marBottom w:val="45"/>
                  <w:divBdr>
                    <w:top w:val="none" w:sz="0" w:space="0" w:color="auto"/>
                    <w:left w:val="none" w:sz="0" w:space="0" w:color="auto"/>
                    <w:bottom w:val="none" w:sz="0" w:space="0" w:color="auto"/>
                    <w:right w:val="none" w:sz="0" w:space="0" w:color="auto"/>
                  </w:divBdr>
                </w:div>
                <w:div w:id="579145148">
                  <w:marLeft w:val="120"/>
                  <w:marRight w:val="0"/>
                  <w:marTop w:val="45"/>
                  <w:marBottom w:val="45"/>
                  <w:divBdr>
                    <w:top w:val="none" w:sz="0" w:space="0" w:color="auto"/>
                    <w:left w:val="none" w:sz="0" w:space="0" w:color="auto"/>
                    <w:bottom w:val="none" w:sz="0" w:space="0" w:color="auto"/>
                    <w:right w:val="none" w:sz="0" w:space="0" w:color="auto"/>
                  </w:divBdr>
                </w:div>
                <w:div w:id="280764386">
                  <w:marLeft w:val="120"/>
                  <w:marRight w:val="0"/>
                  <w:marTop w:val="45"/>
                  <w:marBottom w:val="45"/>
                  <w:divBdr>
                    <w:top w:val="none" w:sz="0" w:space="0" w:color="auto"/>
                    <w:left w:val="none" w:sz="0" w:space="0" w:color="auto"/>
                    <w:bottom w:val="none" w:sz="0" w:space="0" w:color="auto"/>
                    <w:right w:val="none" w:sz="0" w:space="0" w:color="auto"/>
                  </w:divBdr>
                </w:div>
                <w:div w:id="1171991540">
                  <w:marLeft w:val="120"/>
                  <w:marRight w:val="0"/>
                  <w:marTop w:val="45"/>
                  <w:marBottom w:val="45"/>
                  <w:divBdr>
                    <w:top w:val="none" w:sz="0" w:space="0" w:color="auto"/>
                    <w:left w:val="none" w:sz="0" w:space="0" w:color="auto"/>
                    <w:bottom w:val="none" w:sz="0" w:space="0" w:color="auto"/>
                    <w:right w:val="none" w:sz="0" w:space="0" w:color="auto"/>
                  </w:divBdr>
                </w:div>
                <w:div w:id="926578199">
                  <w:marLeft w:val="120"/>
                  <w:marRight w:val="0"/>
                  <w:marTop w:val="45"/>
                  <w:marBottom w:val="45"/>
                  <w:divBdr>
                    <w:top w:val="none" w:sz="0" w:space="0" w:color="auto"/>
                    <w:left w:val="none" w:sz="0" w:space="0" w:color="auto"/>
                    <w:bottom w:val="none" w:sz="0" w:space="0" w:color="auto"/>
                    <w:right w:val="none" w:sz="0" w:space="0" w:color="auto"/>
                  </w:divBdr>
                </w:div>
                <w:div w:id="318077938">
                  <w:marLeft w:val="120"/>
                  <w:marRight w:val="0"/>
                  <w:marTop w:val="45"/>
                  <w:marBottom w:val="45"/>
                  <w:divBdr>
                    <w:top w:val="none" w:sz="0" w:space="0" w:color="auto"/>
                    <w:left w:val="none" w:sz="0" w:space="0" w:color="auto"/>
                    <w:bottom w:val="none" w:sz="0" w:space="0" w:color="auto"/>
                    <w:right w:val="none" w:sz="0" w:space="0" w:color="auto"/>
                  </w:divBdr>
                </w:div>
              </w:divsChild>
            </w:div>
          </w:divsChild>
        </w:div>
        <w:div w:id="1510682388">
          <w:marLeft w:val="0"/>
          <w:marRight w:val="0"/>
          <w:marTop w:val="45"/>
          <w:marBottom w:val="45"/>
          <w:divBdr>
            <w:top w:val="none" w:sz="0" w:space="0" w:color="auto"/>
            <w:left w:val="none" w:sz="0" w:space="0" w:color="auto"/>
            <w:bottom w:val="none" w:sz="0" w:space="0" w:color="auto"/>
            <w:right w:val="none" w:sz="0" w:space="0" w:color="auto"/>
          </w:divBdr>
        </w:div>
        <w:div w:id="444619177">
          <w:marLeft w:val="0"/>
          <w:marRight w:val="0"/>
          <w:marTop w:val="45"/>
          <w:marBottom w:val="45"/>
          <w:divBdr>
            <w:top w:val="none" w:sz="0" w:space="0" w:color="auto"/>
            <w:left w:val="none" w:sz="0" w:space="0" w:color="auto"/>
            <w:bottom w:val="none" w:sz="0" w:space="0" w:color="auto"/>
            <w:right w:val="none" w:sz="0" w:space="0" w:color="auto"/>
          </w:divBdr>
        </w:div>
        <w:div w:id="233201923">
          <w:marLeft w:val="0"/>
          <w:marRight w:val="0"/>
          <w:marTop w:val="45"/>
          <w:marBottom w:val="45"/>
          <w:divBdr>
            <w:top w:val="none" w:sz="0" w:space="0" w:color="auto"/>
            <w:left w:val="none" w:sz="0" w:space="0" w:color="auto"/>
            <w:bottom w:val="none" w:sz="0" w:space="0" w:color="auto"/>
            <w:right w:val="none" w:sz="0" w:space="0" w:color="auto"/>
          </w:divBdr>
        </w:div>
        <w:div w:id="703285051">
          <w:marLeft w:val="0"/>
          <w:marRight w:val="0"/>
          <w:marTop w:val="45"/>
          <w:marBottom w:val="45"/>
          <w:divBdr>
            <w:top w:val="none" w:sz="0" w:space="0" w:color="auto"/>
            <w:left w:val="none" w:sz="0" w:space="0" w:color="auto"/>
            <w:bottom w:val="none" w:sz="0" w:space="0" w:color="auto"/>
            <w:right w:val="none" w:sz="0" w:space="0" w:color="auto"/>
          </w:divBdr>
        </w:div>
        <w:div w:id="1965117731">
          <w:marLeft w:val="0"/>
          <w:marRight w:val="0"/>
          <w:marTop w:val="45"/>
          <w:marBottom w:val="45"/>
          <w:divBdr>
            <w:top w:val="none" w:sz="0" w:space="0" w:color="auto"/>
            <w:left w:val="none" w:sz="0" w:space="0" w:color="auto"/>
            <w:bottom w:val="none" w:sz="0" w:space="0" w:color="auto"/>
            <w:right w:val="none" w:sz="0" w:space="0" w:color="auto"/>
          </w:divBdr>
        </w:div>
        <w:div w:id="32578512">
          <w:marLeft w:val="0"/>
          <w:marRight w:val="0"/>
          <w:marTop w:val="45"/>
          <w:marBottom w:val="45"/>
          <w:divBdr>
            <w:top w:val="none" w:sz="0" w:space="0" w:color="auto"/>
            <w:left w:val="none" w:sz="0" w:space="0" w:color="auto"/>
            <w:bottom w:val="none" w:sz="0" w:space="0" w:color="auto"/>
            <w:right w:val="none" w:sz="0" w:space="0" w:color="auto"/>
          </w:divBdr>
          <w:divsChild>
            <w:div w:id="1906836910">
              <w:marLeft w:val="90"/>
              <w:marRight w:val="0"/>
              <w:marTop w:val="45"/>
              <w:marBottom w:val="45"/>
              <w:divBdr>
                <w:top w:val="none" w:sz="0" w:space="0" w:color="auto"/>
                <w:left w:val="none" w:sz="0" w:space="0" w:color="auto"/>
                <w:bottom w:val="none" w:sz="0" w:space="0" w:color="auto"/>
                <w:right w:val="none" w:sz="0" w:space="0" w:color="auto"/>
              </w:divBdr>
            </w:div>
            <w:div w:id="1773932507">
              <w:marLeft w:val="90"/>
              <w:marRight w:val="0"/>
              <w:marTop w:val="45"/>
              <w:marBottom w:val="45"/>
              <w:divBdr>
                <w:top w:val="none" w:sz="0" w:space="0" w:color="auto"/>
                <w:left w:val="none" w:sz="0" w:space="0" w:color="auto"/>
                <w:bottom w:val="none" w:sz="0" w:space="0" w:color="auto"/>
                <w:right w:val="none" w:sz="0" w:space="0" w:color="auto"/>
              </w:divBdr>
            </w:div>
            <w:div w:id="60759222">
              <w:marLeft w:val="90"/>
              <w:marRight w:val="0"/>
              <w:marTop w:val="45"/>
              <w:marBottom w:val="45"/>
              <w:divBdr>
                <w:top w:val="none" w:sz="0" w:space="0" w:color="auto"/>
                <w:left w:val="none" w:sz="0" w:space="0" w:color="auto"/>
                <w:bottom w:val="none" w:sz="0" w:space="0" w:color="auto"/>
                <w:right w:val="none" w:sz="0" w:space="0" w:color="auto"/>
              </w:divBdr>
            </w:div>
            <w:div w:id="700015110">
              <w:marLeft w:val="90"/>
              <w:marRight w:val="0"/>
              <w:marTop w:val="45"/>
              <w:marBottom w:val="45"/>
              <w:divBdr>
                <w:top w:val="none" w:sz="0" w:space="0" w:color="auto"/>
                <w:left w:val="none" w:sz="0" w:space="0" w:color="auto"/>
                <w:bottom w:val="none" w:sz="0" w:space="0" w:color="auto"/>
                <w:right w:val="none" w:sz="0" w:space="0" w:color="auto"/>
              </w:divBdr>
            </w:div>
          </w:divsChild>
        </w:div>
        <w:div w:id="223759915">
          <w:marLeft w:val="45"/>
          <w:marRight w:val="0"/>
          <w:marTop w:val="45"/>
          <w:marBottom w:val="45"/>
          <w:divBdr>
            <w:top w:val="none" w:sz="0" w:space="0" w:color="auto"/>
            <w:left w:val="none" w:sz="0" w:space="0" w:color="auto"/>
            <w:bottom w:val="none" w:sz="0" w:space="0" w:color="auto"/>
            <w:right w:val="none" w:sz="0" w:space="0" w:color="auto"/>
          </w:divBdr>
        </w:div>
        <w:div w:id="1416394726">
          <w:marLeft w:val="0"/>
          <w:marRight w:val="0"/>
          <w:marTop w:val="45"/>
          <w:marBottom w:val="45"/>
          <w:divBdr>
            <w:top w:val="none" w:sz="0" w:space="0" w:color="auto"/>
            <w:left w:val="none" w:sz="0" w:space="0" w:color="auto"/>
            <w:bottom w:val="none" w:sz="0" w:space="0" w:color="auto"/>
            <w:right w:val="none" w:sz="0" w:space="0" w:color="auto"/>
          </w:divBdr>
        </w:div>
        <w:div w:id="1562400647">
          <w:marLeft w:val="0"/>
          <w:marRight w:val="0"/>
          <w:marTop w:val="45"/>
          <w:marBottom w:val="45"/>
          <w:divBdr>
            <w:top w:val="none" w:sz="0" w:space="0" w:color="auto"/>
            <w:left w:val="none" w:sz="0" w:space="0" w:color="auto"/>
            <w:bottom w:val="none" w:sz="0" w:space="0" w:color="auto"/>
            <w:right w:val="none" w:sz="0" w:space="0" w:color="auto"/>
          </w:divBdr>
        </w:div>
        <w:div w:id="5837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yperlink" Target="http://www.publicprocurementguides.treasury.gov.cy/OHS-GR/HTML/disclaimer_gr.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www.cyprus.gov.cy/" TargetMode="External"/><Relationship Id="rId2" Type="http://schemas.openxmlformats.org/officeDocument/2006/relationships/settings" Target="settings.xml"/><Relationship Id="rId16" Type="http://schemas.openxmlformats.org/officeDocument/2006/relationships/hyperlink" Target="http://www.publicprocurementguides.treasury.gov.cy/OHS-GR/HTML/signs.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hyperlink" Target="javascript:HMToggle('toggle','TOGGLE0186A1')" TargetMode="External"/><Relationship Id="rId10" Type="http://schemas.openxmlformats.org/officeDocument/2006/relationships/image" Target="media/image7.png"/><Relationship Id="rId19" Type="http://schemas.openxmlformats.org/officeDocument/2006/relationships/hyperlink" Target="http://www.publicprocurementguides.treasury.gov.cy/OHS-GR/HTML/webmaster_gr.htm"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5419</Words>
  <Characters>29266</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Monoyiou</dc:creator>
  <cp:keywords/>
  <dc:description/>
  <cp:lastModifiedBy>Daphne Demetriades</cp:lastModifiedBy>
  <cp:revision>2</cp:revision>
  <dcterms:created xsi:type="dcterms:W3CDTF">2018-08-16T13:42:00Z</dcterms:created>
  <dcterms:modified xsi:type="dcterms:W3CDTF">2018-08-16T13:42:00Z</dcterms:modified>
</cp:coreProperties>
</file>