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E4" w:rsidRDefault="00A966E4" w:rsidP="00A966E4">
      <w:pPr>
        <w:autoSpaceDE w:val="0"/>
        <w:autoSpaceDN w:val="0"/>
        <w:adjustRightInd w:val="0"/>
        <w:ind w:hanging="180"/>
        <w:jc w:val="right"/>
        <w:rPr>
          <w:rFonts w:cs="Arial"/>
          <w:b/>
          <w:color w:val="000000"/>
          <w:sz w:val="23"/>
          <w:szCs w:val="23"/>
          <w:u w:val="single"/>
        </w:rPr>
      </w:pPr>
      <w:bookmarkStart w:id="0" w:name="_GoBack"/>
      <w:bookmarkEnd w:id="0"/>
      <w:r>
        <w:rPr>
          <w:rFonts w:cs="Arial"/>
          <w:b/>
          <w:color w:val="000000"/>
          <w:sz w:val="23"/>
          <w:szCs w:val="23"/>
          <w:u w:val="single"/>
        </w:rPr>
        <w:t>Έντυπο Ε. – Ακύρωση Διαγωνισμού</w:t>
      </w:r>
    </w:p>
    <w:p w:rsidR="00A966E4" w:rsidRDefault="00A966E4" w:rsidP="00A966E4">
      <w:pPr>
        <w:autoSpaceDE w:val="0"/>
        <w:autoSpaceDN w:val="0"/>
        <w:adjustRightInd w:val="0"/>
        <w:ind w:hanging="180"/>
        <w:jc w:val="right"/>
        <w:rPr>
          <w:rFonts w:cs="Arial"/>
          <w:b/>
          <w:color w:val="000000"/>
          <w:sz w:val="23"/>
          <w:szCs w:val="23"/>
          <w:u w:val="single"/>
        </w:rPr>
      </w:pPr>
    </w:p>
    <w:tbl>
      <w:tblPr>
        <w:tblW w:w="1034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253"/>
        <w:gridCol w:w="1276"/>
        <w:gridCol w:w="4820"/>
      </w:tblGrid>
      <w:tr w:rsidR="00A966E4" w:rsidRPr="00F07522" w:rsidTr="008D4573">
        <w:trPr>
          <w:trHeight w:val="907"/>
        </w:trPr>
        <w:tc>
          <w:tcPr>
            <w:tcW w:w="4253" w:type="dxa"/>
          </w:tcPr>
          <w:p w:rsidR="00A966E4" w:rsidRPr="003C4534" w:rsidRDefault="00A966E4" w:rsidP="008D4573">
            <w:pPr>
              <w:rPr>
                <w:b/>
              </w:rPr>
            </w:pPr>
          </w:p>
          <w:p w:rsidR="00A966E4" w:rsidRPr="003C4534" w:rsidRDefault="00A966E4" w:rsidP="008D4573">
            <w:pPr>
              <w:jc w:val="right"/>
              <w:rPr>
                <w:b/>
              </w:rPr>
            </w:pPr>
            <w:r w:rsidRPr="003C4534">
              <w:rPr>
                <w:b/>
              </w:rPr>
              <w:t>ΚΥΠΡΙΑΚΗ</w:t>
            </w:r>
          </w:p>
        </w:tc>
        <w:tc>
          <w:tcPr>
            <w:tcW w:w="1276" w:type="dxa"/>
            <w:vAlign w:val="center"/>
          </w:tcPr>
          <w:p w:rsidR="00A966E4" w:rsidRDefault="00A966E4" w:rsidP="008D4573">
            <w:pPr>
              <w:jc w:val="center"/>
            </w:pPr>
            <w:r>
              <w:object w:dxaOrig="2610" w:dyaOrig="2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7.25pt" o:ole="">
                  <v:imagedata r:id="rId5" o:title=""/>
                </v:shape>
                <o:OLEObject Type="Embed" ProgID="MSPhotoEd.3" ShapeID="_x0000_i1025" DrawAspect="Content" ObjectID="_1595954707" r:id="rId6"/>
              </w:object>
            </w:r>
          </w:p>
        </w:tc>
        <w:tc>
          <w:tcPr>
            <w:tcW w:w="4820" w:type="dxa"/>
          </w:tcPr>
          <w:p w:rsidR="00A966E4" w:rsidRPr="003C4534" w:rsidRDefault="00A966E4" w:rsidP="008D4573">
            <w:pPr>
              <w:rPr>
                <w:b/>
              </w:rPr>
            </w:pPr>
          </w:p>
          <w:p w:rsidR="00A966E4" w:rsidRPr="003C4534" w:rsidRDefault="00A966E4" w:rsidP="008D4573">
            <w:pPr>
              <w:rPr>
                <w:b/>
              </w:rPr>
            </w:pPr>
            <w:r w:rsidRPr="003C4534">
              <w:rPr>
                <w:b/>
              </w:rPr>
              <w:t>ΔΗΜΟΚΡΑΤΙΑ</w:t>
            </w:r>
          </w:p>
        </w:tc>
      </w:tr>
    </w:tbl>
    <w:p w:rsidR="00A966E4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cs="Arial"/>
          <w:color w:val="000000"/>
          <w:sz w:val="22"/>
          <w:szCs w:val="22"/>
        </w:rPr>
      </w:pP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  <w:proofErr w:type="spellStart"/>
      <w:r w:rsidRPr="00107EE9">
        <w:rPr>
          <w:rFonts w:cs="Arial"/>
          <w:color w:val="000000"/>
        </w:rPr>
        <w:t>Αρ</w:t>
      </w:r>
      <w:proofErr w:type="spellEnd"/>
      <w:r w:rsidRPr="00107EE9">
        <w:rPr>
          <w:rFonts w:ascii="DHLADM+Arial" w:hAnsi="DHLADM+Arial" w:cs="DHLADM+Arial"/>
          <w:color w:val="000000"/>
        </w:rPr>
        <w:t xml:space="preserve">. </w:t>
      </w:r>
      <w:proofErr w:type="spellStart"/>
      <w:r w:rsidRPr="00107EE9">
        <w:rPr>
          <w:rFonts w:cs="Arial"/>
          <w:color w:val="000000"/>
        </w:rPr>
        <w:t>Φακ</w:t>
      </w:r>
      <w:proofErr w:type="spellEnd"/>
      <w:r w:rsidRPr="00107EE9">
        <w:rPr>
          <w:rFonts w:ascii="DHLADM+Arial" w:hAnsi="DHLADM+Arial" w:cs="DHLADM+Arial"/>
          <w:color w:val="000000"/>
        </w:rPr>
        <w:t xml:space="preserve">.: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  <w:r w:rsidRPr="00107EE9">
        <w:rPr>
          <w:rFonts w:cs="Arial"/>
          <w:color w:val="000000"/>
        </w:rPr>
        <w:t>Η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>ερο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>ηνία</w:t>
      </w:r>
      <w:r w:rsidRPr="00107EE9">
        <w:rPr>
          <w:rFonts w:ascii="DHLADM+Arial" w:hAnsi="DHLADM+Arial" w:cs="DHLADM+Arial"/>
          <w:color w:val="000000"/>
        </w:rPr>
        <w:t xml:space="preserve">: ..........................................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1"/>
        <w:jc w:val="both"/>
        <w:rPr>
          <w:rFonts w:cs="Arial"/>
          <w:color w:val="000000"/>
        </w:rPr>
      </w:pPr>
    </w:p>
    <w:p w:rsidR="00A966E4" w:rsidRPr="00107EE9" w:rsidRDefault="00A966E4" w:rsidP="00A966E4">
      <w:pPr>
        <w:autoSpaceDE w:val="0"/>
        <w:autoSpaceDN w:val="0"/>
        <w:adjustRightInd w:val="0"/>
        <w:ind w:left="-450"/>
        <w:jc w:val="both"/>
        <w:rPr>
          <w:rFonts w:cs="Arial"/>
          <w:b/>
          <w:color w:val="000000"/>
          <w:u w:val="single"/>
        </w:rPr>
      </w:pPr>
      <w:r w:rsidRPr="00107EE9">
        <w:rPr>
          <w:rFonts w:cs="Arial"/>
          <w:b/>
          <w:color w:val="000000"/>
          <w:u w:val="single"/>
        </w:rPr>
        <w:t xml:space="preserve">Να προσδιοριστεί ο τρόπος αποστολής/παράδοσης της επιστολής (με ηλεκτρονικά μέσα / με άλλα μέσα επικοινωνίας/με άλλο τρόπο που μπορεί να εξακριβωθεί από την αναθέτουσα αρχή ο χρόνος παράδοσης της επιστολής) και να καταγραφεί επί της επιστολής, π.χ.: </w:t>
      </w:r>
    </w:p>
    <w:p w:rsidR="00A966E4" w:rsidRPr="00107EE9" w:rsidRDefault="00A966E4" w:rsidP="00A966E4">
      <w:pPr>
        <w:autoSpaceDE w:val="0"/>
        <w:autoSpaceDN w:val="0"/>
        <w:adjustRightInd w:val="0"/>
        <w:ind w:left="-450"/>
        <w:jc w:val="both"/>
        <w:rPr>
          <w:rFonts w:cs="Arial"/>
          <w:b/>
          <w:color w:val="000000"/>
          <w:u w:val="single"/>
        </w:rPr>
      </w:pPr>
      <w:r w:rsidRPr="00107EE9">
        <w:rPr>
          <w:rFonts w:cs="Arial"/>
          <w:b/>
          <w:color w:val="000000"/>
          <w:u w:val="single"/>
        </w:rPr>
        <w:t>ΜΕ ΤΟ ΧΕΡΙ/ ΜΕ ΤΟ ΦΑΞ / ΜΕ ΣΥΣΤΗΜΕΝΗ ΕΠΙΣΤΟΛΗ</w:t>
      </w:r>
    </w:p>
    <w:p w:rsidR="00A966E4" w:rsidRPr="00107EE9" w:rsidRDefault="00A966E4" w:rsidP="00A966E4">
      <w:pPr>
        <w:autoSpaceDE w:val="0"/>
        <w:autoSpaceDN w:val="0"/>
        <w:adjustRightInd w:val="0"/>
        <w:ind w:left="-450"/>
        <w:jc w:val="both"/>
        <w:rPr>
          <w:rFonts w:cs="Arial"/>
          <w:b/>
          <w:color w:val="000000"/>
          <w:u w:val="single"/>
        </w:rPr>
      </w:pPr>
    </w:p>
    <w:p w:rsidR="00A966E4" w:rsidRPr="00107EE9" w:rsidRDefault="00A966E4" w:rsidP="00A966E4">
      <w:pPr>
        <w:autoSpaceDE w:val="0"/>
        <w:autoSpaceDN w:val="0"/>
        <w:adjustRightInd w:val="0"/>
        <w:ind w:left="-270" w:hanging="181"/>
        <w:jc w:val="both"/>
        <w:rPr>
          <w:rFonts w:ascii="DHLADM+Arial" w:hAnsi="DHLADM+Arial" w:cs="DHLADM+Arial"/>
          <w:color w:val="000000"/>
        </w:rPr>
      </w:pPr>
      <w:r w:rsidRPr="00107EE9">
        <w:rPr>
          <w:rFonts w:cs="Arial"/>
          <w:color w:val="000000"/>
        </w:rPr>
        <w:t xml:space="preserve">Κύριο </w:t>
      </w:r>
      <w:r w:rsidRPr="00107EE9">
        <w:rPr>
          <w:rFonts w:ascii="DHLADM+Arial" w:hAnsi="DHLADM+Arial" w:cs="DHLADM+Arial"/>
          <w:color w:val="000000"/>
        </w:rPr>
        <w:t xml:space="preserve">/ </w:t>
      </w:r>
      <w:r w:rsidRPr="00107EE9">
        <w:rPr>
          <w:rFonts w:cs="Arial"/>
          <w:color w:val="000000"/>
        </w:rPr>
        <w:t xml:space="preserve">Κυρίους </w:t>
      </w:r>
      <w:r w:rsidRPr="00107EE9">
        <w:rPr>
          <w:rFonts w:ascii="DHLADM+Arial" w:hAnsi="DHLADM+Arial" w:cs="DHLADM+Arial"/>
          <w:color w:val="000000"/>
        </w:rPr>
        <w:t xml:space="preserve">.....................................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1"/>
        <w:jc w:val="both"/>
        <w:rPr>
          <w:rFonts w:ascii="DHLADM+Arial" w:hAnsi="DHLADM+Arial" w:cs="DHLADM+Arial"/>
          <w:color w:val="000000"/>
        </w:rPr>
      </w:pPr>
      <w:r w:rsidRPr="00107EE9">
        <w:rPr>
          <w:rFonts w:ascii="DHLADM+Arial" w:hAnsi="DHLADM+Arial" w:cs="DHLADM+Arial"/>
          <w:color w:val="000000"/>
        </w:rPr>
        <w:t xml:space="preserve">................................................................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  <w:r w:rsidRPr="00107EE9">
        <w:rPr>
          <w:rFonts w:ascii="DHLADM+Arial" w:hAnsi="DHLADM+Arial" w:cs="DHLADM+Arial"/>
          <w:color w:val="000000"/>
        </w:rPr>
        <w:t xml:space="preserve">................................................................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  <w:r w:rsidRPr="00107EE9">
        <w:rPr>
          <w:rFonts w:ascii="DHLADM+Arial" w:hAnsi="DHLADM+Arial" w:cs="DHLADM+Arial"/>
          <w:color w:val="000000"/>
        </w:rPr>
        <w:t xml:space="preserve">................................................................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  <w:r w:rsidRPr="00107EE9">
        <w:rPr>
          <w:rFonts w:cs="Arial"/>
          <w:b/>
          <w:bCs/>
          <w:color w:val="000000"/>
        </w:rPr>
        <w:t>Θέ</w:t>
      </w:r>
      <w:r w:rsidRPr="00107EE9">
        <w:rPr>
          <w:rFonts w:ascii="DHLCBE+Arial,Bold" w:hAnsi="DHLCBE+Arial,Bold" w:cs="DHLCBE+Arial,Bold"/>
          <w:b/>
          <w:bCs/>
          <w:color w:val="000000"/>
        </w:rPr>
        <w:t>μ</w:t>
      </w:r>
      <w:r w:rsidRPr="00107EE9">
        <w:rPr>
          <w:rFonts w:cs="Arial"/>
          <w:b/>
          <w:bCs/>
          <w:color w:val="000000"/>
        </w:rPr>
        <w:t>α</w:t>
      </w:r>
      <w:r w:rsidRPr="00107EE9">
        <w:rPr>
          <w:rFonts w:ascii="DHLCBE+Arial,Bold" w:hAnsi="DHLCBE+Arial,Bold" w:cs="DHLCBE+Arial,Bold"/>
          <w:b/>
          <w:bCs/>
          <w:color w:val="000000"/>
        </w:rPr>
        <w:t xml:space="preserve">: </w:t>
      </w:r>
      <w:r w:rsidRPr="00107EE9">
        <w:rPr>
          <w:rFonts w:cs="Arial"/>
          <w:color w:val="000000"/>
        </w:rPr>
        <w:t>Γνωστοποίηση αποτελεσ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>άτων διαγωνισ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 xml:space="preserve">ού για </w:t>
      </w:r>
      <w:r w:rsidRPr="00107EE9">
        <w:rPr>
          <w:rFonts w:ascii="DHLADM+Arial" w:hAnsi="DHLADM+Arial" w:cs="DHLADM+Arial"/>
          <w:color w:val="000000"/>
        </w:rPr>
        <w:t xml:space="preserve">...........................................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  <w:r w:rsidRPr="00107EE9">
        <w:rPr>
          <w:rFonts w:ascii="DHLADM+Arial" w:hAnsi="DHLADM+Arial" w:cs="DHLADM+Arial"/>
          <w:color w:val="000000"/>
        </w:rPr>
        <w:t xml:space="preserve">..................................................................................................................................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  <w:r w:rsidRPr="00107EE9">
        <w:rPr>
          <w:rFonts w:ascii="DHLADM+Arial" w:hAnsi="DHLADM+Arial" w:cs="DHLADM+Arial"/>
          <w:color w:val="000000"/>
        </w:rPr>
        <w:t xml:space="preserve">.................................................................................................................................. </w:t>
      </w:r>
    </w:p>
    <w:p w:rsidR="00A966E4" w:rsidRPr="00107EE9" w:rsidRDefault="00A966E4" w:rsidP="00A966E4">
      <w:pPr>
        <w:autoSpaceDE w:val="0"/>
        <w:autoSpaceDN w:val="0"/>
        <w:adjustRightInd w:val="0"/>
        <w:ind w:left="-270" w:hanging="180"/>
        <w:jc w:val="both"/>
        <w:rPr>
          <w:rFonts w:ascii="DHLADM+Arial" w:hAnsi="DHLADM+Arial" w:cs="DHLADM+Arial"/>
          <w:color w:val="000000"/>
        </w:rPr>
      </w:pPr>
    </w:p>
    <w:p w:rsidR="00A966E4" w:rsidRPr="00107EE9" w:rsidRDefault="00A966E4" w:rsidP="00A966E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-90"/>
        <w:contextualSpacing/>
        <w:jc w:val="both"/>
        <w:rPr>
          <w:rFonts w:cs="Arial"/>
          <w:color w:val="000000"/>
          <w:szCs w:val="24"/>
        </w:rPr>
      </w:pPr>
      <w:r w:rsidRPr="00107EE9">
        <w:rPr>
          <w:rFonts w:cs="Arial"/>
          <w:color w:val="000000"/>
          <w:szCs w:val="24"/>
        </w:rPr>
        <w:t>Επιθυ</w:t>
      </w:r>
      <w:r w:rsidRPr="00107EE9">
        <w:rPr>
          <w:rFonts w:ascii="DHLADM+Arial" w:hAnsi="DHLADM+Arial" w:cs="DHLADM+Arial"/>
          <w:color w:val="000000"/>
          <w:szCs w:val="24"/>
        </w:rPr>
        <w:t>μ</w:t>
      </w:r>
      <w:r w:rsidRPr="00107EE9">
        <w:rPr>
          <w:rFonts w:cs="Arial"/>
          <w:color w:val="000000"/>
          <w:szCs w:val="24"/>
        </w:rPr>
        <w:t>ώ να σας ευχαριστήσω για τη συ</w:t>
      </w:r>
      <w:r w:rsidRPr="00107EE9">
        <w:rPr>
          <w:rFonts w:ascii="DHLADM+Arial" w:hAnsi="DHLADM+Arial" w:cs="DHLADM+Arial"/>
          <w:color w:val="000000"/>
          <w:szCs w:val="24"/>
        </w:rPr>
        <w:t>μμ</w:t>
      </w:r>
      <w:r w:rsidRPr="00107EE9">
        <w:rPr>
          <w:rFonts w:cs="Arial"/>
          <w:color w:val="000000"/>
          <w:szCs w:val="24"/>
        </w:rPr>
        <w:t>ετοχή σας στον πιο πάνω διαγωνισ</w:t>
      </w:r>
      <w:r w:rsidRPr="00107EE9">
        <w:rPr>
          <w:rFonts w:ascii="DHLADM+Arial" w:hAnsi="DHLADM+Arial" w:cs="DHLADM+Arial"/>
          <w:color w:val="000000"/>
          <w:szCs w:val="24"/>
        </w:rPr>
        <w:t>μ</w:t>
      </w:r>
      <w:r w:rsidRPr="00107EE9">
        <w:rPr>
          <w:rFonts w:cs="Arial"/>
          <w:color w:val="000000"/>
          <w:szCs w:val="24"/>
        </w:rPr>
        <w:t xml:space="preserve">ό και να σας πληροφορήσω ότι ο διαγωνισμός έχει ακυρωθεί για τους πιο κάτω λόγους </w:t>
      </w:r>
      <w:r w:rsidRPr="00107EE9">
        <w:rPr>
          <w:rFonts w:ascii="DHLEHK+Arial,Italic" w:hAnsi="DHLEHK+Arial,Italic" w:cs="DHLEHK+Arial,Italic"/>
          <w:b/>
          <w:i/>
          <w:color w:val="000000"/>
          <w:szCs w:val="24"/>
        </w:rPr>
        <w:t>(</w:t>
      </w:r>
      <w:r w:rsidRPr="00107EE9">
        <w:rPr>
          <w:rFonts w:cs="Arial"/>
          <w:b/>
          <w:i/>
          <w:color w:val="000000"/>
          <w:szCs w:val="24"/>
        </w:rPr>
        <w:t>να καταγράφονται με λεπτομέρεια οι λόγοι ακύρωσης του διαγωνισ</w:t>
      </w:r>
      <w:r w:rsidRPr="00107EE9">
        <w:rPr>
          <w:rFonts w:ascii="DHLEHK+Arial,Italic" w:hAnsi="DHLEHK+Arial,Italic" w:cs="DHLEHK+Arial,Italic"/>
          <w:b/>
          <w:i/>
          <w:color w:val="000000"/>
          <w:szCs w:val="24"/>
        </w:rPr>
        <w:t>μ</w:t>
      </w:r>
      <w:r w:rsidRPr="00107EE9">
        <w:rPr>
          <w:rFonts w:cs="Arial"/>
          <w:b/>
          <w:i/>
          <w:color w:val="000000"/>
          <w:szCs w:val="24"/>
        </w:rPr>
        <w:t>ού</w:t>
      </w:r>
      <w:r w:rsidRPr="00107EE9">
        <w:rPr>
          <w:rFonts w:ascii="DHLEHK+Arial,Italic" w:hAnsi="DHLEHK+Arial,Italic" w:cs="DHLEHK+Arial,Italic"/>
          <w:b/>
          <w:i/>
          <w:color w:val="000000"/>
          <w:szCs w:val="24"/>
        </w:rPr>
        <w:t>)</w:t>
      </w:r>
      <w:r w:rsidRPr="00107EE9">
        <w:rPr>
          <w:rFonts w:cs="Arial"/>
          <w:color w:val="000000"/>
          <w:szCs w:val="24"/>
        </w:rPr>
        <w:t>:</w:t>
      </w:r>
    </w:p>
    <w:p w:rsidR="00A966E4" w:rsidRDefault="00A966E4" w:rsidP="00A966E4">
      <w:pPr>
        <w:pStyle w:val="ListParagraph"/>
        <w:autoSpaceDE w:val="0"/>
        <w:autoSpaceDN w:val="0"/>
        <w:adjustRightInd w:val="0"/>
        <w:ind w:left="-90"/>
        <w:jc w:val="both"/>
        <w:rPr>
          <w:rFonts w:cs="Arial"/>
          <w:color w:val="000000"/>
          <w:szCs w:val="24"/>
        </w:rPr>
      </w:pPr>
      <w:r w:rsidRPr="00107EE9">
        <w:rPr>
          <w:rFonts w:cs="Arial"/>
          <w:color w:val="000000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966E4" w:rsidRPr="00107EE9" w:rsidRDefault="00A966E4" w:rsidP="00A966E4">
      <w:pPr>
        <w:pStyle w:val="ListParagraph"/>
        <w:autoSpaceDE w:val="0"/>
        <w:autoSpaceDN w:val="0"/>
        <w:adjustRightInd w:val="0"/>
        <w:ind w:left="-90"/>
        <w:jc w:val="both"/>
        <w:rPr>
          <w:rFonts w:cs="Arial"/>
          <w:color w:val="000000"/>
          <w:szCs w:val="24"/>
        </w:rPr>
      </w:pPr>
    </w:p>
    <w:p w:rsidR="00A966E4" w:rsidRPr="00107EE9" w:rsidRDefault="00A966E4" w:rsidP="00A966E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-90"/>
        <w:contextualSpacing/>
        <w:jc w:val="both"/>
        <w:rPr>
          <w:rFonts w:ascii="DHLADM+Arial" w:hAnsi="DHLADM+Arial" w:cs="DHLADM+Arial"/>
          <w:color w:val="000000"/>
          <w:szCs w:val="24"/>
        </w:rPr>
      </w:pPr>
      <w:r w:rsidRPr="00107EE9">
        <w:rPr>
          <w:rFonts w:cs="Arial"/>
          <w:color w:val="000000"/>
          <w:szCs w:val="24"/>
        </w:rPr>
        <w:t>Σε περίπτωση που πιστεύετε</w:t>
      </w:r>
      <w:r w:rsidRPr="00107EE9">
        <w:rPr>
          <w:rFonts w:ascii="DHLADM+Arial" w:hAnsi="DHLADM+Arial" w:cs="DHLADM+Arial"/>
          <w:color w:val="000000"/>
          <w:szCs w:val="24"/>
        </w:rPr>
        <w:t xml:space="preserve">, </w:t>
      </w:r>
      <w:r w:rsidRPr="00107EE9">
        <w:rPr>
          <w:rFonts w:cs="Arial"/>
          <w:color w:val="000000"/>
          <w:szCs w:val="24"/>
        </w:rPr>
        <w:t>ότι η πιο πάνω απόφαση σας αδικεί</w:t>
      </w:r>
      <w:r w:rsidRPr="00107EE9">
        <w:rPr>
          <w:rFonts w:ascii="DHLADM+Arial" w:hAnsi="DHLADM+Arial" w:cs="DHLADM+Arial"/>
          <w:color w:val="000000"/>
          <w:szCs w:val="24"/>
        </w:rPr>
        <w:t xml:space="preserve">, </w:t>
      </w:r>
      <w:r w:rsidRPr="00107EE9">
        <w:rPr>
          <w:rFonts w:cs="Arial"/>
          <w:color w:val="000000"/>
          <w:szCs w:val="24"/>
        </w:rPr>
        <w:t>έχετε το δικαίω</w:t>
      </w:r>
      <w:r w:rsidRPr="00107EE9">
        <w:rPr>
          <w:rFonts w:ascii="DHLADM+Arial" w:hAnsi="DHLADM+Arial" w:cs="DHLADM+Arial"/>
          <w:color w:val="000000"/>
          <w:szCs w:val="24"/>
        </w:rPr>
        <w:t>μ</w:t>
      </w:r>
      <w:r w:rsidRPr="00107EE9">
        <w:rPr>
          <w:rFonts w:cs="Arial"/>
          <w:color w:val="000000"/>
          <w:szCs w:val="24"/>
        </w:rPr>
        <w:t>α</w:t>
      </w:r>
      <w:r w:rsidRPr="00107EE9">
        <w:rPr>
          <w:rFonts w:ascii="DHLADM+Arial" w:hAnsi="DHLADM+Arial" w:cs="DHLADM+Arial"/>
          <w:color w:val="000000"/>
          <w:szCs w:val="24"/>
        </w:rPr>
        <w:t xml:space="preserve">: </w:t>
      </w:r>
    </w:p>
    <w:p w:rsidR="00A966E4" w:rsidRPr="00107EE9" w:rsidRDefault="00A966E4" w:rsidP="00A966E4">
      <w:pPr>
        <w:pStyle w:val="ListParagraph"/>
        <w:autoSpaceDE w:val="0"/>
        <w:autoSpaceDN w:val="0"/>
        <w:adjustRightInd w:val="0"/>
        <w:ind w:left="-90"/>
        <w:jc w:val="both"/>
        <w:rPr>
          <w:rFonts w:ascii="DHLADM+Arial" w:hAnsi="DHLADM+Arial" w:cs="DHLADM+Arial"/>
          <w:color w:val="000000"/>
          <w:szCs w:val="24"/>
        </w:rPr>
      </w:pPr>
    </w:p>
    <w:p w:rsidR="00A966E4" w:rsidRDefault="00A966E4" w:rsidP="00A966E4">
      <w:pPr>
        <w:autoSpaceDE w:val="0"/>
        <w:autoSpaceDN w:val="0"/>
        <w:adjustRightInd w:val="0"/>
        <w:ind w:left="270" w:hanging="360"/>
        <w:jc w:val="both"/>
        <w:rPr>
          <w:rFonts w:cs="Arial"/>
          <w:color w:val="000000"/>
        </w:rPr>
      </w:pPr>
      <w:r w:rsidRPr="00107EE9">
        <w:rPr>
          <w:rFonts w:ascii="DHLADM+Arial" w:hAnsi="DHLADM+Arial" w:cs="DHLADM+Arial"/>
          <w:color w:val="000000"/>
        </w:rPr>
        <w:t>(</w:t>
      </w:r>
      <w:r w:rsidRPr="00107EE9">
        <w:rPr>
          <w:rFonts w:cs="Arial"/>
          <w:color w:val="000000"/>
        </w:rPr>
        <w:t>α</w:t>
      </w:r>
      <w:r w:rsidRPr="00107EE9">
        <w:rPr>
          <w:rFonts w:ascii="DHLADM+Arial" w:hAnsi="DHLADM+Arial" w:cs="DHLADM+Arial"/>
          <w:color w:val="000000"/>
        </w:rPr>
        <w:t xml:space="preserve">) </w:t>
      </w:r>
      <w:r w:rsidRPr="00107EE9">
        <w:rPr>
          <w:rFonts w:cs="Arial"/>
          <w:color w:val="000000"/>
        </w:rPr>
        <w:t>Να ασκήσετε προσφυγή στην Αναθεωρητική Αρχή Προσφορών, εντός της ταχθείσας από το άρθρο 21 του περί των Διαδικασιών Προσφυγής στον Τομέα της Σύναψης των Δημοσίων Συ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>βάσεων Νό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 xml:space="preserve">ου του </w:t>
      </w:r>
      <w:r w:rsidRPr="00107EE9">
        <w:rPr>
          <w:rFonts w:ascii="DHLADM+Arial" w:hAnsi="DHLADM+Arial" w:cs="DHLADM+Arial"/>
          <w:color w:val="000000"/>
        </w:rPr>
        <w:t>2010 («</w:t>
      </w:r>
      <w:r w:rsidRPr="00107EE9">
        <w:rPr>
          <w:rFonts w:cs="Arial"/>
          <w:color w:val="000000"/>
        </w:rPr>
        <w:t>Νόμος 104(Ι)/2010») προθεσμίας, δηλαδή εντός</w:t>
      </w:r>
      <w:r w:rsidRPr="00107EE9">
        <w:rPr>
          <w:rFonts w:cs="Arial"/>
          <w:b/>
          <w:color w:val="000000"/>
        </w:rPr>
        <w:t>*</w:t>
      </w:r>
      <w:r w:rsidRPr="00107EE9">
        <w:rPr>
          <w:rFonts w:cs="Arial"/>
          <w:b/>
          <w:color w:val="000000"/>
          <w:vertAlign w:val="superscript"/>
        </w:rPr>
        <w:t>1</w:t>
      </w:r>
      <w:r w:rsidRPr="00107EE9">
        <w:rPr>
          <w:rFonts w:cs="Arial"/>
          <w:color w:val="000000"/>
        </w:rPr>
        <w:t xml:space="preserve">: </w:t>
      </w:r>
    </w:p>
    <w:p w:rsidR="00A966E4" w:rsidRPr="00107EE9" w:rsidRDefault="00A966E4" w:rsidP="00A966E4">
      <w:pPr>
        <w:autoSpaceDE w:val="0"/>
        <w:autoSpaceDN w:val="0"/>
        <w:adjustRightInd w:val="0"/>
        <w:ind w:left="270" w:hanging="360"/>
        <w:jc w:val="both"/>
        <w:rPr>
          <w:rFonts w:cs="Arial"/>
          <w:color w:val="000000"/>
        </w:rPr>
      </w:pPr>
    </w:p>
    <w:p w:rsidR="00A966E4" w:rsidRPr="00107EE9" w:rsidRDefault="00A966E4" w:rsidP="00A966E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630"/>
        <w:contextualSpacing/>
        <w:jc w:val="both"/>
        <w:rPr>
          <w:rFonts w:cs="Arial"/>
          <w:color w:val="000000"/>
          <w:szCs w:val="24"/>
        </w:rPr>
      </w:pPr>
      <w:r w:rsidRPr="00107EE9">
        <w:rPr>
          <w:rFonts w:cs="Arial"/>
          <w:color w:val="000000"/>
          <w:szCs w:val="24"/>
        </w:rPr>
        <w:t xml:space="preserve">δεκαπέντε (15) ημερολογιακών ημερών από την επομένη της ημερομηνίας αποστολής της απόφασης, </w:t>
      </w:r>
      <w:r w:rsidRPr="00107EE9">
        <w:rPr>
          <w:rFonts w:cs="Arial"/>
          <w:b/>
          <w:i/>
          <w:color w:val="000000"/>
          <w:szCs w:val="24"/>
        </w:rPr>
        <w:t>(εφόσον για την αποστολή της απόφασης χρησιμοποιούνται ηλεκτρονικά μέσα ή τηλεομοιοτυπία)</w:t>
      </w:r>
      <w:r w:rsidRPr="00107EE9">
        <w:rPr>
          <w:rFonts w:cs="Arial"/>
          <w:color w:val="000000"/>
          <w:szCs w:val="24"/>
        </w:rPr>
        <w:t>,</w:t>
      </w:r>
    </w:p>
    <w:p w:rsidR="00A966E4" w:rsidRPr="00107EE9" w:rsidRDefault="00A966E4" w:rsidP="00A966E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630"/>
        <w:contextualSpacing/>
        <w:jc w:val="both"/>
        <w:rPr>
          <w:rFonts w:cs="Arial"/>
          <w:color w:val="000000"/>
          <w:szCs w:val="24"/>
        </w:rPr>
      </w:pPr>
      <w:r w:rsidRPr="00107EE9">
        <w:rPr>
          <w:rFonts w:cs="Arial"/>
          <w:color w:val="000000"/>
          <w:szCs w:val="24"/>
        </w:rPr>
        <w:t xml:space="preserve">δεκαπέντε (15) ημερολογιακών ημερών από την επομένη της ημερομηνίας της παρούσας επιστολής, </w:t>
      </w:r>
      <w:r w:rsidRPr="00107EE9">
        <w:rPr>
          <w:rFonts w:cs="Arial"/>
          <w:b/>
          <w:i/>
          <w:color w:val="000000"/>
          <w:szCs w:val="24"/>
        </w:rPr>
        <w:t>(εφόσον για την αποστολή της χρησιμοποιούνται άλλα μέσα επικοινωνίας)</w:t>
      </w:r>
      <w:r w:rsidRPr="00107EE9">
        <w:rPr>
          <w:rFonts w:cs="Arial"/>
          <w:color w:val="000000"/>
          <w:szCs w:val="24"/>
        </w:rPr>
        <w:t>,</w:t>
      </w:r>
    </w:p>
    <w:p w:rsidR="00A966E4" w:rsidRPr="00107EE9" w:rsidRDefault="00A966E4" w:rsidP="00A966E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630"/>
        <w:contextualSpacing/>
        <w:jc w:val="both"/>
        <w:rPr>
          <w:rFonts w:ascii="DHLADM+Arial" w:hAnsi="DHLADM+Arial" w:cs="DHLADM+Arial"/>
          <w:color w:val="000000"/>
          <w:szCs w:val="24"/>
        </w:rPr>
      </w:pPr>
      <w:r w:rsidRPr="00107EE9">
        <w:rPr>
          <w:rFonts w:cs="Arial"/>
          <w:color w:val="000000"/>
          <w:szCs w:val="24"/>
        </w:rPr>
        <w:t xml:space="preserve">δέκα (10) ημερολογιακών ημερών από την επομένη της ημερομηνίας παραλαβής της παρούσας επιστολής, </w:t>
      </w:r>
      <w:r w:rsidRPr="00107EE9">
        <w:rPr>
          <w:rFonts w:cs="Arial"/>
          <w:b/>
          <w:i/>
          <w:color w:val="000000"/>
          <w:szCs w:val="24"/>
        </w:rPr>
        <w:t xml:space="preserve">(εφόσον η κοινοποίηση της ελέγχεται από την αναθέτουσα αρχή </w:t>
      </w:r>
      <w:r>
        <w:rPr>
          <w:rFonts w:cs="Arial"/>
          <w:b/>
          <w:i/>
          <w:color w:val="000000"/>
          <w:szCs w:val="24"/>
        </w:rPr>
        <w:t xml:space="preserve">/ αναθέτοντα φορέα </w:t>
      </w:r>
      <w:r w:rsidRPr="00107EE9">
        <w:rPr>
          <w:rFonts w:cs="Arial"/>
          <w:b/>
          <w:i/>
          <w:color w:val="000000"/>
          <w:szCs w:val="24"/>
        </w:rPr>
        <w:t xml:space="preserve">και ο χρόνος παράδοσης </w:t>
      </w:r>
      <w:r w:rsidRPr="00107EE9">
        <w:rPr>
          <w:rFonts w:cs="Arial"/>
          <w:b/>
          <w:i/>
          <w:color w:val="000000"/>
          <w:szCs w:val="24"/>
        </w:rPr>
        <w:lastRenderedPageBreak/>
        <w:t>έχει καταγραφεί, ή μπορεί εύκολα να εξακριβωθεί από την αναθέτουσα αρχή</w:t>
      </w:r>
      <w:r>
        <w:rPr>
          <w:rFonts w:cs="Arial"/>
          <w:b/>
          <w:i/>
          <w:color w:val="000000"/>
          <w:szCs w:val="24"/>
        </w:rPr>
        <w:t xml:space="preserve"> / αναθέτοντα φορέα</w:t>
      </w:r>
      <w:r w:rsidRPr="00107EE9">
        <w:rPr>
          <w:rFonts w:cs="Arial"/>
          <w:b/>
          <w:i/>
          <w:color w:val="000000"/>
          <w:szCs w:val="24"/>
        </w:rPr>
        <w:t>)</w:t>
      </w:r>
      <w:r w:rsidRPr="00107EE9">
        <w:rPr>
          <w:rFonts w:cs="Arial"/>
          <w:color w:val="000000"/>
          <w:szCs w:val="24"/>
        </w:rPr>
        <w:t xml:space="preserve"> ή</w:t>
      </w:r>
    </w:p>
    <w:p w:rsidR="00A966E4" w:rsidRPr="00107EE9" w:rsidRDefault="00A966E4" w:rsidP="00A966E4">
      <w:pPr>
        <w:pStyle w:val="ListParagraph"/>
        <w:autoSpaceDE w:val="0"/>
        <w:autoSpaceDN w:val="0"/>
        <w:adjustRightInd w:val="0"/>
        <w:ind w:left="270"/>
        <w:jc w:val="both"/>
        <w:rPr>
          <w:rFonts w:ascii="DHLADM+Arial" w:hAnsi="DHLADM+Arial" w:cs="DHLADM+Arial"/>
          <w:color w:val="000000"/>
          <w:szCs w:val="24"/>
        </w:rPr>
      </w:pPr>
    </w:p>
    <w:p w:rsidR="00A966E4" w:rsidRPr="00107EE9" w:rsidRDefault="00A966E4" w:rsidP="00A966E4">
      <w:pPr>
        <w:autoSpaceDE w:val="0"/>
        <w:autoSpaceDN w:val="0"/>
        <w:adjustRightInd w:val="0"/>
        <w:ind w:left="270" w:hanging="360"/>
        <w:jc w:val="both"/>
        <w:rPr>
          <w:rFonts w:ascii="DHLADM+Arial" w:hAnsi="DHLADM+Arial" w:cs="DHLADM+Arial"/>
          <w:color w:val="000000"/>
        </w:rPr>
      </w:pPr>
      <w:r w:rsidRPr="00107EE9">
        <w:rPr>
          <w:rFonts w:ascii="DHLADM+Arial" w:hAnsi="DHLADM+Arial" w:cs="DHLADM+Arial"/>
          <w:color w:val="000000"/>
        </w:rPr>
        <w:t>(</w:t>
      </w:r>
      <w:r w:rsidRPr="00107EE9">
        <w:rPr>
          <w:rFonts w:cs="Arial"/>
          <w:color w:val="000000"/>
        </w:rPr>
        <w:t>β</w:t>
      </w:r>
      <w:r w:rsidRPr="00107EE9">
        <w:rPr>
          <w:rFonts w:ascii="DHLADM+Arial" w:hAnsi="DHLADM+Arial" w:cs="DHLADM+Arial"/>
          <w:color w:val="000000"/>
        </w:rPr>
        <w:t xml:space="preserve">) </w:t>
      </w:r>
      <w:r w:rsidRPr="00107EE9">
        <w:rPr>
          <w:rFonts w:cs="Arial"/>
          <w:color w:val="000000"/>
        </w:rPr>
        <w:t xml:space="preserve">να ασκήσετε προσφυγή στο </w:t>
      </w:r>
      <w:r>
        <w:rPr>
          <w:rFonts w:cs="Arial"/>
          <w:color w:val="000000"/>
        </w:rPr>
        <w:t>Διοικητικό</w:t>
      </w:r>
      <w:r w:rsidRPr="00107EE9">
        <w:rPr>
          <w:rFonts w:cs="Arial"/>
          <w:color w:val="000000"/>
        </w:rPr>
        <w:t xml:space="preserve"> Δικαστήριο  σύμφωνα με </w:t>
      </w:r>
      <w:r w:rsidRPr="005A1FD5">
        <w:rPr>
          <w:rFonts w:cs="Arial"/>
          <w:color w:val="000000"/>
        </w:rPr>
        <w:t>τις πρόνοιες του περί της Ίδρυσης και Λειτουργίας Διοικητικού Δικαστηρίου Νόμου του 2015 (Ν.131(Ι)/2015)</w:t>
      </w:r>
      <w:r w:rsidRPr="00107EE9">
        <w:rPr>
          <w:rFonts w:cs="Arial"/>
          <w:color w:val="000000"/>
        </w:rPr>
        <w:t>,</w:t>
      </w:r>
      <w:r w:rsidRPr="00107EE9">
        <w:rPr>
          <w:rFonts w:ascii="DHLADM+Arial" w:hAnsi="DHLADM+Arial" w:cs="DHLADM+Arial"/>
          <w:color w:val="000000"/>
        </w:rPr>
        <w:t xml:space="preserve"> μ</w:t>
      </w:r>
      <w:r w:rsidRPr="00107EE9">
        <w:rPr>
          <w:rFonts w:cs="Arial"/>
          <w:color w:val="000000"/>
        </w:rPr>
        <w:t>έσα σε προθεσ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>ία εβδο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 xml:space="preserve">ήντα πέντε </w:t>
      </w:r>
      <w:r w:rsidRPr="00107EE9">
        <w:rPr>
          <w:rFonts w:ascii="DHLADM+Arial" w:hAnsi="DHLADM+Arial" w:cs="DHLADM+Arial"/>
          <w:color w:val="000000"/>
        </w:rPr>
        <w:t xml:space="preserve">(75) </w:t>
      </w:r>
      <w:r w:rsidRPr="00107EE9">
        <w:rPr>
          <w:rFonts w:cs="Arial"/>
          <w:color w:val="000000"/>
        </w:rPr>
        <w:t>η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>ερών</w:t>
      </w:r>
      <w:r w:rsidRPr="00107EE9">
        <w:rPr>
          <w:rFonts w:ascii="DHLADM+Arial" w:hAnsi="DHLADM+Arial" w:cs="DHLADM+Arial"/>
          <w:color w:val="000000"/>
        </w:rPr>
        <w:t xml:space="preserve">, </w:t>
      </w:r>
      <w:r w:rsidRPr="00107EE9">
        <w:rPr>
          <w:rFonts w:cs="Arial"/>
          <w:color w:val="000000"/>
        </w:rPr>
        <w:t>από την η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>ερο</w:t>
      </w:r>
      <w:r w:rsidRPr="00107EE9">
        <w:rPr>
          <w:rFonts w:ascii="DHLADM+Arial" w:hAnsi="DHLADM+Arial" w:cs="DHLADM+Arial"/>
          <w:color w:val="000000"/>
        </w:rPr>
        <w:t>μ</w:t>
      </w:r>
      <w:r w:rsidRPr="00107EE9">
        <w:rPr>
          <w:rFonts w:cs="Arial"/>
          <w:color w:val="000000"/>
        </w:rPr>
        <w:t>ηνία κοινοποίησης προς εσάς της παρούσας απόφασης</w:t>
      </w:r>
      <w:r w:rsidRPr="00107EE9">
        <w:rPr>
          <w:rFonts w:ascii="DHLADM+Arial" w:hAnsi="DHLADM+Arial" w:cs="DHLADM+Arial"/>
          <w:color w:val="000000"/>
        </w:rPr>
        <w:t>.</w:t>
      </w:r>
    </w:p>
    <w:p w:rsidR="00A966E4" w:rsidRPr="00107EE9" w:rsidRDefault="00A966E4" w:rsidP="00A966E4">
      <w:pPr>
        <w:autoSpaceDE w:val="0"/>
        <w:autoSpaceDN w:val="0"/>
        <w:adjustRightInd w:val="0"/>
        <w:ind w:left="270" w:hanging="360"/>
        <w:jc w:val="both"/>
        <w:rPr>
          <w:rFonts w:ascii="DHLADM+Arial" w:hAnsi="DHLADM+Arial" w:cs="DHLADM+Arial"/>
          <w:color w:val="000000"/>
        </w:rPr>
      </w:pPr>
    </w:p>
    <w:p w:rsidR="00A966E4" w:rsidRDefault="00A966E4" w:rsidP="00A966E4">
      <w:pPr>
        <w:autoSpaceDE w:val="0"/>
        <w:autoSpaceDN w:val="0"/>
        <w:adjustRightInd w:val="0"/>
        <w:jc w:val="both"/>
        <w:rPr>
          <w:rFonts w:cs="Arial"/>
        </w:rPr>
      </w:pPr>
      <w:r w:rsidRPr="00A95B8D">
        <w:rPr>
          <w:rFonts w:ascii="DHLADM+Arial" w:hAnsi="DHLADM+Arial" w:cs="DHLADM+Arial"/>
          <w:color w:val="000000"/>
        </w:rPr>
        <w:t>3.</w:t>
      </w:r>
      <w:r>
        <w:rPr>
          <w:rFonts w:cs="Arial"/>
        </w:rPr>
        <w:t xml:space="preserve"> </w:t>
      </w:r>
      <w:r w:rsidRPr="00107EE9">
        <w:rPr>
          <w:rFonts w:cs="Arial"/>
        </w:rPr>
        <w:t xml:space="preserve">Η προσφορά σας, </w:t>
      </w:r>
      <w:r w:rsidRPr="00107EE9">
        <w:rPr>
          <w:rFonts w:cs="Arial"/>
          <w:b/>
          <w:i/>
        </w:rPr>
        <w:t>όπως και η εγγύηση συμμετοχής</w:t>
      </w:r>
      <w:r w:rsidRPr="00107EE9">
        <w:rPr>
          <w:rFonts w:cs="Arial"/>
          <w:b/>
          <w:vertAlign w:val="superscript"/>
        </w:rPr>
        <w:t>2</w:t>
      </w:r>
      <w:r w:rsidRPr="00107EE9">
        <w:rPr>
          <w:rFonts w:cs="Arial"/>
          <w:b/>
          <w:i/>
        </w:rPr>
        <w:t>,</w:t>
      </w:r>
      <w:r w:rsidRPr="00107EE9">
        <w:rPr>
          <w:rFonts w:cs="Arial"/>
        </w:rPr>
        <w:t xml:space="preserve"> συνεχίζουν να παραμένουν σε ισχύ μέχρι την ημερομηνία λήξης τους, η οποία ενδέχεται να σας ζητηθεί να παραταθεί μέχρι την έκδοση οριστικής απόφασης για το διαγωνισμό από την Αναθεωρητική Αρχή Προσφορών, εάν και εφόσον ασκηθεί προσφυγή σε αυτήν</w:t>
      </w:r>
      <w:r>
        <w:rPr>
          <w:rFonts w:cs="Arial"/>
        </w:rPr>
        <w:t>.</w:t>
      </w:r>
    </w:p>
    <w:p w:rsidR="00A966E4" w:rsidRPr="00107EE9" w:rsidRDefault="00A966E4" w:rsidP="00A966E4">
      <w:pPr>
        <w:autoSpaceDE w:val="0"/>
        <w:autoSpaceDN w:val="0"/>
        <w:adjustRightInd w:val="0"/>
        <w:jc w:val="both"/>
        <w:rPr>
          <w:rFonts w:cs="Arial"/>
        </w:rPr>
      </w:pPr>
      <w:r w:rsidRPr="00107EE9">
        <w:rPr>
          <w:rFonts w:cs="Arial"/>
        </w:rPr>
        <w:t xml:space="preserve"> </w:t>
      </w:r>
    </w:p>
    <w:p w:rsidR="00A966E4" w:rsidRPr="00107EE9" w:rsidRDefault="00A966E4" w:rsidP="00A966E4">
      <w:pPr>
        <w:tabs>
          <w:tab w:val="left" w:pos="180"/>
        </w:tabs>
        <w:autoSpaceDE w:val="0"/>
        <w:autoSpaceDN w:val="0"/>
        <w:adjustRightInd w:val="0"/>
        <w:ind w:left="-90" w:hanging="360"/>
        <w:jc w:val="both"/>
        <w:rPr>
          <w:rFonts w:cs="Arial"/>
          <w:color w:val="000000"/>
        </w:rPr>
      </w:pPr>
    </w:p>
    <w:p w:rsidR="00A966E4" w:rsidRPr="00107EE9" w:rsidRDefault="00A966E4" w:rsidP="00A966E4">
      <w:pPr>
        <w:tabs>
          <w:tab w:val="left" w:pos="180"/>
        </w:tabs>
        <w:autoSpaceDE w:val="0"/>
        <w:autoSpaceDN w:val="0"/>
        <w:adjustRightInd w:val="0"/>
        <w:ind w:left="-90" w:hanging="36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Μ</w:t>
      </w:r>
      <w:r w:rsidRPr="00107EE9">
        <w:rPr>
          <w:rFonts w:cs="Arial"/>
          <w:color w:val="000000"/>
        </w:rPr>
        <w:t>ε εκτίμηση</w:t>
      </w:r>
    </w:p>
    <w:p w:rsidR="00A966E4" w:rsidRPr="00107EE9" w:rsidRDefault="00A966E4" w:rsidP="00A966E4">
      <w:pPr>
        <w:ind w:left="-90" w:hanging="360"/>
        <w:rPr>
          <w:rFonts w:cs="Arial"/>
          <w:color w:val="000000"/>
        </w:rPr>
      </w:pPr>
    </w:p>
    <w:p w:rsidR="00A966E4" w:rsidRPr="00107EE9" w:rsidRDefault="00A966E4" w:rsidP="00A966E4">
      <w:pPr>
        <w:ind w:left="-90" w:hanging="360"/>
        <w:rPr>
          <w:rFonts w:cs="Arial"/>
          <w:color w:val="000000"/>
        </w:rPr>
      </w:pPr>
    </w:p>
    <w:p w:rsidR="00A966E4" w:rsidRDefault="00A966E4" w:rsidP="00A966E4">
      <w:pPr>
        <w:ind w:left="-90" w:hanging="360"/>
        <w:rPr>
          <w:rFonts w:cs="Arial"/>
          <w:color w:val="000000"/>
        </w:rPr>
      </w:pPr>
      <w:r>
        <w:rPr>
          <w:rFonts w:cs="Arial"/>
          <w:color w:val="000000"/>
        </w:rPr>
        <w:t xml:space="preserve">     Αναθέτουσα αρχή/</w:t>
      </w:r>
    </w:p>
    <w:p w:rsidR="00A966E4" w:rsidRPr="00107EE9" w:rsidRDefault="00A966E4" w:rsidP="00A966E4">
      <w:pPr>
        <w:ind w:left="-90" w:hanging="360"/>
        <w:rPr>
          <w:rFonts w:cs="Arial"/>
          <w:color w:val="000000"/>
        </w:rPr>
      </w:pPr>
      <w:r>
        <w:rPr>
          <w:rFonts w:cs="Arial"/>
          <w:color w:val="000000"/>
        </w:rPr>
        <w:t xml:space="preserve">     Αναθέτων φ</w:t>
      </w:r>
      <w:r w:rsidRPr="00107EE9">
        <w:rPr>
          <w:rFonts w:cs="Arial"/>
          <w:color w:val="000000"/>
        </w:rPr>
        <w:t>ορέας</w:t>
      </w:r>
    </w:p>
    <w:p w:rsidR="00A966E4" w:rsidRDefault="00A966E4" w:rsidP="00A966E4">
      <w:pPr>
        <w:autoSpaceDE w:val="0"/>
        <w:autoSpaceDN w:val="0"/>
        <w:adjustRightInd w:val="0"/>
        <w:ind w:left="-540"/>
        <w:jc w:val="both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AEA0D" wp14:editId="64C1D8E6">
                <wp:simplePos x="0" y="0"/>
                <wp:positionH relativeFrom="column">
                  <wp:posOffset>-111125</wp:posOffset>
                </wp:positionH>
                <wp:positionV relativeFrom="paragraph">
                  <wp:posOffset>80010</wp:posOffset>
                </wp:positionV>
                <wp:extent cx="5821680" cy="33655"/>
                <wp:effectExtent l="11430" t="11430" r="5715" b="1206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1680" cy="33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B9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-8.75pt;margin-top:6.3pt;width:458.4pt;height:2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"/>
            </w:pict>
          </mc:Fallback>
        </mc:AlternateContent>
      </w:r>
    </w:p>
    <w:p w:rsidR="00A966E4" w:rsidRDefault="00A966E4" w:rsidP="00A966E4">
      <w:pPr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  <w:r w:rsidRPr="006B3A28">
        <w:rPr>
          <w:b/>
          <w:sz w:val="20"/>
          <w:szCs w:val="20"/>
        </w:rPr>
        <w:t>*</w:t>
      </w:r>
      <w:r>
        <w:rPr>
          <w:b/>
          <w:sz w:val="20"/>
          <w:szCs w:val="20"/>
          <w:vertAlign w:val="superscript"/>
        </w:rPr>
        <w:t>1</w:t>
      </w:r>
      <w:r w:rsidRPr="006B3A28">
        <w:rPr>
          <w:b/>
          <w:sz w:val="20"/>
          <w:szCs w:val="20"/>
          <w:vertAlign w:val="superscript"/>
        </w:rPr>
        <w:t xml:space="preserve">   </w:t>
      </w:r>
      <w:r>
        <w:rPr>
          <w:b/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Περιγράφονται οι τρεις τρόποι υπολογισμού της προθεσμίας. Να καταγραφεί στην επιστολή που θα σταλεί εκείνος μόνο ο τρόπος υπολογισμού της προθεσμίας που αρμόζει στην περίπτωση, αναλόγως των μέσων με τα οποία η αναθέτουσα αρχή / ο αναθέτων φορέας επέλεξε να κοινοποιήσει την επιστολή στους επηρεαζόμενους. Να διαγραφεί το κείμενο που είναι στην παρένθεση με κυρτούς έντονους χαρακτήρες</w:t>
      </w:r>
      <w:r w:rsidRPr="00F67D4D">
        <w:rPr>
          <w:sz w:val="20"/>
          <w:szCs w:val="20"/>
        </w:rPr>
        <w:t>.</w:t>
      </w:r>
    </w:p>
    <w:p w:rsidR="00A966E4" w:rsidRPr="00F67D4D" w:rsidRDefault="00A966E4" w:rsidP="00A966E4">
      <w:pPr>
        <w:autoSpaceDE w:val="0"/>
        <w:autoSpaceDN w:val="0"/>
        <w:adjustRightInd w:val="0"/>
        <w:ind w:left="360" w:hanging="360"/>
        <w:jc w:val="both"/>
        <w:rPr>
          <w:sz w:val="20"/>
          <w:szCs w:val="20"/>
        </w:rPr>
      </w:pPr>
    </w:p>
    <w:p w:rsidR="00A966E4" w:rsidRDefault="00A966E4" w:rsidP="00A966E4">
      <w:pPr>
        <w:autoSpaceDE w:val="0"/>
        <w:autoSpaceDN w:val="0"/>
        <w:adjustRightInd w:val="0"/>
        <w:ind w:left="180" w:hanging="360"/>
        <w:jc w:val="both"/>
        <w:rPr>
          <w:sz w:val="20"/>
          <w:szCs w:val="20"/>
        </w:rPr>
      </w:pPr>
      <w:r>
        <w:rPr>
          <w:b/>
        </w:rPr>
        <w:t xml:space="preserve">   *</w:t>
      </w:r>
      <w:r>
        <w:rPr>
          <w:b/>
          <w:vertAlign w:val="superscript"/>
        </w:rPr>
        <w:t xml:space="preserve">2   </w:t>
      </w:r>
      <w:r w:rsidRPr="006B3A28">
        <w:rPr>
          <w:sz w:val="20"/>
          <w:szCs w:val="20"/>
        </w:rPr>
        <w:t>Το κείμενο με κυρτούς</w:t>
      </w:r>
      <w:r>
        <w:rPr>
          <w:sz w:val="20"/>
          <w:szCs w:val="20"/>
        </w:rPr>
        <w:t xml:space="preserve"> έντονους</w:t>
      </w:r>
      <w:r w:rsidRPr="006B3A28">
        <w:rPr>
          <w:sz w:val="20"/>
          <w:szCs w:val="20"/>
        </w:rPr>
        <w:t xml:space="preserve"> χαρακτήρες να διαγραφεί, </w:t>
      </w:r>
      <w:r>
        <w:rPr>
          <w:sz w:val="20"/>
          <w:szCs w:val="20"/>
        </w:rPr>
        <w:t xml:space="preserve">εάν </w:t>
      </w:r>
      <w:r w:rsidRPr="006B3A28">
        <w:rPr>
          <w:sz w:val="20"/>
          <w:szCs w:val="20"/>
        </w:rPr>
        <w:t>δεν εφαρμόζεται.</w:t>
      </w:r>
    </w:p>
    <w:p w:rsidR="00A966E4" w:rsidRDefault="00A966E4" w:rsidP="00A966E4">
      <w:pPr>
        <w:autoSpaceDE w:val="0"/>
        <w:autoSpaceDN w:val="0"/>
        <w:adjustRightInd w:val="0"/>
        <w:ind w:left="180" w:hanging="360"/>
        <w:jc w:val="both"/>
      </w:pPr>
    </w:p>
    <w:p w:rsidR="00A966E4" w:rsidRDefault="00A966E4" w:rsidP="00A966E4">
      <w:pPr>
        <w:spacing w:line="276" w:lineRule="auto"/>
        <w:jc w:val="both"/>
        <w:rPr>
          <w:rFonts w:eastAsia="Calibri" w:cs="Arial"/>
          <w:b/>
        </w:rPr>
      </w:pPr>
    </w:p>
    <w:p w:rsidR="00A966E4" w:rsidRDefault="00A966E4" w:rsidP="00A966E4">
      <w:pPr>
        <w:spacing w:line="276" w:lineRule="auto"/>
        <w:ind w:left="1530" w:hanging="1530"/>
        <w:jc w:val="both"/>
        <w:rPr>
          <w:rFonts w:eastAsia="Calibri" w:cs="Arial"/>
          <w:b/>
        </w:rPr>
      </w:pPr>
    </w:p>
    <w:p w:rsidR="00A966E4" w:rsidRDefault="00A966E4" w:rsidP="00A966E4">
      <w:pPr>
        <w:spacing w:line="276" w:lineRule="auto"/>
        <w:ind w:left="1530" w:hanging="1530"/>
        <w:jc w:val="both"/>
        <w:rPr>
          <w:rFonts w:eastAsia="Calibri" w:cs="Arial"/>
          <w:b/>
        </w:rPr>
      </w:pPr>
    </w:p>
    <w:p w:rsidR="00A966E4" w:rsidRDefault="00A966E4" w:rsidP="00A966E4">
      <w:pPr>
        <w:spacing w:line="276" w:lineRule="auto"/>
        <w:ind w:left="1530" w:hanging="1530"/>
        <w:jc w:val="both"/>
        <w:rPr>
          <w:rFonts w:eastAsia="Calibri" w:cs="Arial"/>
          <w:b/>
        </w:rPr>
      </w:pPr>
    </w:p>
    <w:p w:rsidR="00A966E4" w:rsidRDefault="00A966E4" w:rsidP="00A966E4">
      <w:pPr>
        <w:spacing w:line="276" w:lineRule="auto"/>
        <w:ind w:left="1530" w:hanging="1530"/>
        <w:jc w:val="both"/>
        <w:rPr>
          <w:rFonts w:eastAsia="Calibri" w:cs="Arial"/>
          <w:b/>
        </w:rPr>
      </w:pPr>
    </w:p>
    <w:p w:rsidR="00A966E4" w:rsidRDefault="00A966E4" w:rsidP="00A966E4">
      <w:pPr>
        <w:spacing w:line="276" w:lineRule="auto"/>
        <w:ind w:left="1530" w:hanging="1530"/>
        <w:jc w:val="both"/>
        <w:rPr>
          <w:rFonts w:eastAsia="Calibri" w:cs="Arial"/>
          <w:b/>
        </w:rPr>
      </w:pPr>
    </w:p>
    <w:p w:rsidR="00A966E4" w:rsidRDefault="00A966E4" w:rsidP="00A966E4">
      <w:pPr>
        <w:spacing w:line="276" w:lineRule="auto"/>
        <w:ind w:left="1530" w:hanging="1530"/>
        <w:jc w:val="both"/>
        <w:rPr>
          <w:rFonts w:eastAsia="Calibri" w:cs="Arial"/>
          <w:b/>
        </w:rPr>
      </w:pPr>
    </w:p>
    <w:p w:rsidR="00E8293B" w:rsidRDefault="004607A6"/>
    <w:sectPr w:rsidR="00E82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HLADM+Arial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DHLCB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HLEHK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8E2"/>
    <w:multiLevelType w:val="hybridMultilevel"/>
    <w:tmpl w:val="C33A42D6"/>
    <w:lvl w:ilvl="0" w:tplc="90B054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9" w:hanging="360"/>
      </w:pPr>
    </w:lvl>
    <w:lvl w:ilvl="2" w:tplc="0409001B" w:tentative="1">
      <w:start w:val="1"/>
      <w:numFmt w:val="lowerRoman"/>
      <w:lvlText w:val="%3."/>
      <w:lvlJc w:val="right"/>
      <w:pPr>
        <w:ind w:left="1619" w:hanging="180"/>
      </w:pPr>
    </w:lvl>
    <w:lvl w:ilvl="3" w:tplc="0409000F" w:tentative="1">
      <w:start w:val="1"/>
      <w:numFmt w:val="decimal"/>
      <w:lvlText w:val="%4."/>
      <w:lvlJc w:val="left"/>
      <w:pPr>
        <w:ind w:left="2339" w:hanging="360"/>
      </w:pPr>
    </w:lvl>
    <w:lvl w:ilvl="4" w:tplc="04090019" w:tentative="1">
      <w:start w:val="1"/>
      <w:numFmt w:val="lowerLetter"/>
      <w:lvlText w:val="%5."/>
      <w:lvlJc w:val="left"/>
      <w:pPr>
        <w:ind w:left="3059" w:hanging="360"/>
      </w:pPr>
    </w:lvl>
    <w:lvl w:ilvl="5" w:tplc="0409001B" w:tentative="1">
      <w:start w:val="1"/>
      <w:numFmt w:val="lowerRoman"/>
      <w:lvlText w:val="%6."/>
      <w:lvlJc w:val="right"/>
      <w:pPr>
        <w:ind w:left="3779" w:hanging="180"/>
      </w:pPr>
    </w:lvl>
    <w:lvl w:ilvl="6" w:tplc="0409000F" w:tentative="1">
      <w:start w:val="1"/>
      <w:numFmt w:val="decimal"/>
      <w:lvlText w:val="%7."/>
      <w:lvlJc w:val="left"/>
      <w:pPr>
        <w:ind w:left="4499" w:hanging="360"/>
      </w:pPr>
    </w:lvl>
    <w:lvl w:ilvl="7" w:tplc="04090019" w:tentative="1">
      <w:start w:val="1"/>
      <w:numFmt w:val="lowerLetter"/>
      <w:lvlText w:val="%8."/>
      <w:lvlJc w:val="left"/>
      <w:pPr>
        <w:ind w:left="5219" w:hanging="360"/>
      </w:pPr>
    </w:lvl>
    <w:lvl w:ilvl="8" w:tplc="040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1" w15:restartNumberingAfterBreak="0">
    <w:nsid w:val="2A5F3397"/>
    <w:multiLevelType w:val="hybridMultilevel"/>
    <w:tmpl w:val="F7866A6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E4"/>
    <w:rsid w:val="002C76B3"/>
    <w:rsid w:val="004607A6"/>
    <w:rsid w:val="00A966E4"/>
    <w:rsid w:val="00C7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29E7F-16FE-4D7E-A8AF-DFA57A8C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6E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6E4"/>
    <w:pPr>
      <w:ind w:left="720"/>
    </w:pPr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Monoyiou</dc:creator>
  <cp:keywords/>
  <dc:description/>
  <cp:lastModifiedBy>Daphne Demetriades</cp:lastModifiedBy>
  <cp:revision>2</cp:revision>
  <dcterms:created xsi:type="dcterms:W3CDTF">2018-08-16T16:58:00Z</dcterms:created>
  <dcterms:modified xsi:type="dcterms:W3CDTF">2018-08-16T16:58:00Z</dcterms:modified>
</cp:coreProperties>
</file>